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DB2" w:rsidRDefault="007F4753" w:rsidP="003E7DB2">
      <w:pPr>
        <w:jc w:val="right"/>
      </w:pPr>
      <w:r>
        <w:t>Częstochowa, dnia 1</w:t>
      </w:r>
      <w:r w:rsidR="00B363C5">
        <w:t>2</w:t>
      </w:r>
      <w:r w:rsidR="003E7DB2">
        <w:t>.02.2019 r.</w:t>
      </w:r>
    </w:p>
    <w:p w:rsidR="00C33575" w:rsidRDefault="00EF035A">
      <w:r>
        <w:t>Postępowanie nr ZP/371/4/19</w:t>
      </w:r>
    </w:p>
    <w:p w:rsidR="00B02ECE" w:rsidRPr="00EF035A" w:rsidRDefault="00C33575" w:rsidP="00EF035A">
      <w:pPr>
        <w:jc w:val="center"/>
        <w:rPr>
          <w:b/>
        </w:rPr>
      </w:pPr>
      <w:r w:rsidRPr="00EF035A">
        <w:rPr>
          <w:b/>
        </w:rPr>
        <w:t>OGŁOSZENIE O ZAMÓWIENIU</w:t>
      </w:r>
    </w:p>
    <w:p w:rsidR="00C33575" w:rsidRPr="00EF035A" w:rsidRDefault="00C33575" w:rsidP="00EF035A">
      <w:pPr>
        <w:jc w:val="center"/>
        <w:rPr>
          <w:b/>
        </w:rPr>
      </w:pPr>
      <w:r w:rsidRPr="00EF035A">
        <w:rPr>
          <w:b/>
        </w:rPr>
        <w:t>W postępowaniu o udzielenie zamówienia publicznego na</w:t>
      </w:r>
    </w:p>
    <w:p w:rsidR="00C33575" w:rsidRPr="00EF035A" w:rsidRDefault="00C33575" w:rsidP="00EF035A">
      <w:pPr>
        <w:jc w:val="center"/>
        <w:rPr>
          <w:b/>
        </w:rPr>
      </w:pPr>
      <w:r w:rsidRPr="00EF035A">
        <w:rPr>
          <w:b/>
        </w:rPr>
        <w:t>Przygotowanie i przeprowadzenie bilansu kompetencji osób objętych wsparciem w projekcie ZINTEGROWANY PROGRAM ROZWOJU UJD W CZĘSTOCHOWIE</w:t>
      </w:r>
    </w:p>
    <w:p w:rsidR="00C33575" w:rsidRPr="00EF035A" w:rsidRDefault="00C33575">
      <w:pPr>
        <w:rPr>
          <w:b/>
        </w:rPr>
      </w:pPr>
      <w:r w:rsidRPr="00EF035A">
        <w:rPr>
          <w:b/>
        </w:rPr>
        <w:t>Rozdział 1: Postanowienia Ogólne</w:t>
      </w:r>
    </w:p>
    <w:p w:rsidR="00C33575" w:rsidRDefault="00C33575" w:rsidP="00447F69">
      <w:pPr>
        <w:pStyle w:val="Akapitzlist"/>
        <w:numPr>
          <w:ilvl w:val="0"/>
          <w:numId w:val="4"/>
        </w:numPr>
      </w:pPr>
      <w:r>
        <w:t>Zamawiającym jest:</w:t>
      </w:r>
    </w:p>
    <w:p w:rsidR="00C33575" w:rsidRDefault="00C33575" w:rsidP="00C33575">
      <w:pPr>
        <w:pStyle w:val="Akapitzlist"/>
        <w:ind w:left="360"/>
      </w:pPr>
      <w:r>
        <w:t xml:space="preserve">Uniwersytet Humanistyczno-Przyrodniczy </w:t>
      </w:r>
    </w:p>
    <w:p w:rsidR="00C33575" w:rsidRDefault="00C33575" w:rsidP="00C33575">
      <w:pPr>
        <w:pStyle w:val="Akapitzlist"/>
        <w:ind w:left="360"/>
      </w:pPr>
      <w:r>
        <w:t>im. Jana Długosza w Częstochowie</w:t>
      </w:r>
    </w:p>
    <w:p w:rsidR="00C33575" w:rsidRDefault="00C33575" w:rsidP="00C33575">
      <w:pPr>
        <w:pStyle w:val="Akapitzlist"/>
        <w:ind w:left="360"/>
      </w:pPr>
      <w:r>
        <w:t>ul. Waszyngtona 4/8</w:t>
      </w:r>
    </w:p>
    <w:p w:rsidR="00C33575" w:rsidRDefault="00C33575" w:rsidP="00C33575">
      <w:pPr>
        <w:pStyle w:val="Akapitzlist"/>
        <w:ind w:left="360"/>
      </w:pPr>
      <w:r>
        <w:t>42-200 Częstochowa</w:t>
      </w:r>
    </w:p>
    <w:p w:rsidR="00C33575" w:rsidRDefault="00EF035A" w:rsidP="00C33575">
      <w:pPr>
        <w:pStyle w:val="Akapitzlist"/>
        <w:ind w:left="360"/>
      </w:pPr>
      <w:r>
        <w:t xml:space="preserve">Strona internetowa: </w:t>
      </w:r>
      <w:hyperlink r:id="rId8" w:history="1">
        <w:r w:rsidRPr="000514F7">
          <w:rPr>
            <w:rStyle w:val="Hipercze"/>
          </w:rPr>
          <w:t>www.bip.ajd.czest.pl</w:t>
        </w:r>
      </w:hyperlink>
      <w:r>
        <w:t xml:space="preserve"> </w:t>
      </w:r>
    </w:p>
    <w:p w:rsidR="00C33575" w:rsidRDefault="00EF6E30" w:rsidP="00C33575">
      <w:pPr>
        <w:pStyle w:val="Akapitzlist"/>
        <w:ind w:left="360"/>
      </w:pPr>
      <w:r>
        <w:t>Tel. 34 37 8</w:t>
      </w:r>
      <w:r w:rsidR="00EF035A">
        <w:t>4</w:t>
      </w:r>
      <w:r w:rsidR="00464EF0">
        <w:t> </w:t>
      </w:r>
      <w:r w:rsidR="00EF035A">
        <w:t>181</w:t>
      </w:r>
      <w:r w:rsidR="00464EF0">
        <w:t>, 34 37 84 200</w:t>
      </w:r>
    </w:p>
    <w:p w:rsidR="00C33575" w:rsidRDefault="00C33575" w:rsidP="00C33575">
      <w:pPr>
        <w:pStyle w:val="Akapitzlist"/>
        <w:ind w:left="360"/>
      </w:pPr>
    </w:p>
    <w:p w:rsidR="00447F69" w:rsidRDefault="00C33575" w:rsidP="00447F69">
      <w:pPr>
        <w:pStyle w:val="Akapitzlist"/>
        <w:numPr>
          <w:ilvl w:val="0"/>
          <w:numId w:val="4"/>
        </w:numPr>
      </w:pPr>
      <w:r>
        <w:t xml:space="preserve">Postepowanie prowadzone jest na podstawie przepisów art. 138o ustawy z dnia 29 stycznia 2004 Prawo zamówień publicznych (Dz.U. z 2018, poz. 1986 ze zm.) </w:t>
      </w:r>
      <w:r w:rsidR="005B747B">
        <w:t>–</w:t>
      </w:r>
      <w:r>
        <w:t xml:space="preserve"> </w:t>
      </w:r>
      <w:r w:rsidR="007B3F9D">
        <w:t>zamówienie na usługi społeczne.</w:t>
      </w:r>
    </w:p>
    <w:p w:rsidR="00447F69" w:rsidRDefault="005B747B" w:rsidP="00447F69">
      <w:pPr>
        <w:pStyle w:val="Akapitzlist"/>
        <w:numPr>
          <w:ilvl w:val="0"/>
          <w:numId w:val="4"/>
        </w:numPr>
      </w:pPr>
      <w:r>
        <w:t xml:space="preserve">Wartość zamówienia jest mniejsza od </w:t>
      </w:r>
      <w:r w:rsidR="001B600F">
        <w:t>wyrażonej w złotych równowartości 750 000 euro.</w:t>
      </w:r>
    </w:p>
    <w:p w:rsidR="00004FD0" w:rsidRDefault="001B600F" w:rsidP="00447F69">
      <w:pPr>
        <w:pStyle w:val="Akapitzlist"/>
        <w:numPr>
          <w:ilvl w:val="0"/>
          <w:numId w:val="4"/>
        </w:numPr>
      </w:pPr>
      <w:r>
        <w:t xml:space="preserve">Użyte w niniejszym ogłoszeniu (oraz w załącznikach) </w:t>
      </w:r>
      <w:r w:rsidR="00004FD0">
        <w:t>terminy oznaczają:</w:t>
      </w:r>
    </w:p>
    <w:p w:rsidR="00004FD0" w:rsidRDefault="00004FD0" w:rsidP="00004FD0">
      <w:pPr>
        <w:pStyle w:val="Akapitzlist"/>
        <w:numPr>
          <w:ilvl w:val="0"/>
          <w:numId w:val="3"/>
        </w:numPr>
      </w:pPr>
      <w:r>
        <w:t>Ustawa - ustawy z dnia 29 stycznia 2004 Prawo zamówień publicznych (Dz.U. z 2018, poz. 1986 ze zm.)</w:t>
      </w:r>
    </w:p>
    <w:p w:rsidR="00004FD0" w:rsidRDefault="00004FD0" w:rsidP="00004FD0">
      <w:pPr>
        <w:pStyle w:val="Akapitzlist"/>
        <w:numPr>
          <w:ilvl w:val="0"/>
          <w:numId w:val="3"/>
        </w:numPr>
      </w:pPr>
      <w:r>
        <w:t>Ogłoszenie – niniejsze ogłoszenie o zamówieniu</w:t>
      </w:r>
    </w:p>
    <w:p w:rsidR="00004FD0" w:rsidRDefault="00004FD0" w:rsidP="00004FD0">
      <w:pPr>
        <w:pStyle w:val="Akapitzlist"/>
        <w:numPr>
          <w:ilvl w:val="0"/>
          <w:numId w:val="3"/>
        </w:numPr>
      </w:pPr>
      <w:r>
        <w:t>Zamówienie – zamówienie publiczne, którego przedmiot został opisany w niniejszym Ogłoszeniu o zamówieniu</w:t>
      </w:r>
    </w:p>
    <w:p w:rsidR="00004FD0" w:rsidRDefault="00004FD0" w:rsidP="00004FD0">
      <w:pPr>
        <w:pStyle w:val="Akapitzlist"/>
        <w:numPr>
          <w:ilvl w:val="0"/>
          <w:numId w:val="3"/>
        </w:numPr>
      </w:pPr>
      <w:r>
        <w:t>Postępowanie – postępowanie o udzielenie zamówienia publicznego, którego dotyczy niniejsze Ogłoszenie o zamówieniu</w:t>
      </w:r>
    </w:p>
    <w:p w:rsidR="00004FD0" w:rsidRDefault="00004FD0" w:rsidP="00004FD0">
      <w:pPr>
        <w:pStyle w:val="Akapitzlist"/>
        <w:numPr>
          <w:ilvl w:val="0"/>
          <w:numId w:val="3"/>
        </w:numPr>
      </w:pPr>
      <w:r>
        <w:t>Zamawiający – Uniwersytet Humanistyczno-Przyrodniczy im. Jana Długosza w Częstochowie.</w:t>
      </w:r>
    </w:p>
    <w:p w:rsidR="00004FD0" w:rsidRDefault="00004FD0" w:rsidP="00447F69">
      <w:pPr>
        <w:pStyle w:val="Akapitzlist"/>
        <w:numPr>
          <w:ilvl w:val="0"/>
          <w:numId w:val="4"/>
        </w:numPr>
      </w:pPr>
      <w:r>
        <w:t>Wykonawca zobowiązany jest zapoznać się z treścią Ogłoszenia i złożyć ofertę zgodnie z jego wymaganiami.</w:t>
      </w:r>
    </w:p>
    <w:p w:rsidR="0003748C" w:rsidRDefault="0003748C" w:rsidP="0003748C">
      <w:pPr>
        <w:pStyle w:val="Akapitzlist"/>
        <w:numPr>
          <w:ilvl w:val="0"/>
          <w:numId w:val="4"/>
        </w:numPr>
        <w:jc w:val="both"/>
      </w:pPr>
      <w:r>
        <w:t>W niniejszym postępowaniu Zamawiający będzie odpowiednio stosował przepisy ustawy z dnia 29 stycznia 2004 Prawo zamówień publicznych (Dz.U. z 2018, poz. 1986 ze zm.) w zakresie poprawiania omyłek w ofertach, wykluczenia wykonawcy z postepowania, odrzucenia oferty oraz unieważnienia postepowania (nieudzielenia zamówi</w:t>
      </w:r>
      <w:r w:rsidR="00EA4D19">
        <w:t>enia) z uwzględnieniem odmiennych</w:t>
      </w:r>
      <w:r>
        <w:t xml:space="preserve"> regulacji wprowadzonych w procedurze opisanej w Ogłoszeniu.</w:t>
      </w:r>
    </w:p>
    <w:p w:rsidR="00447F69" w:rsidRPr="00A17E9D" w:rsidRDefault="00004FD0" w:rsidP="00004FD0">
      <w:pPr>
        <w:rPr>
          <w:b/>
        </w:rPr>
      </w:pPr>
      <w:r w:rsidRPr="00A17E9D">
        <w:rPr>
          <w:b/>
        </w:rPr>
        <w:lastRenderedPageBreak/>
        <w:t>Rozdział 2: Opis Przedmiotu Z</w:t>
      </w:r>
      <w:r w:rsidR="00447F69" w:rsidRPr="00A17E9D">
        <w:rPr>
          <w:b/>
        </w:rPr>
        <w:t>amówienia</w:t>
      </w:r>
    </w:p>
    <w:p w:rsidR="00004FD0" w:rsidRDefault="00004FD0" w:rsidP="00A17E9D">
      <w:pPr>
        <w:pStyle w:val="Akapitzlist"/>
        <w:numPr>
          <w:ilvl w:val="0"/>
          <w:numId w:val="5"/>
        </w:numPr>
        <w:jc w:val="both"/>
      </w:pPr>
      <w:r>
        <w:t>Przedmiotem zamówienia jest przygotowanie i przeprowadzenie bilansu kompetencji osób objętych wsparciem w projekcie „Zintegrowany Program Rozwoju UJD w Częstochowie” realizowanym przez Uniwersytet Humanistyczno-Przyrodniczy im. Jana Długosza w Częstochowie w ramach osi priorytetowej: III. Szkolnictwo wyższe dla gospodarki i rozwoju, Działania: 3.5 Kompleksowe programy szkół wyższych, Programu Operacyjnego Wiedza Edukacja Rozwój.</w:t>
      </w:r>
    </w:p>
    <w:p w:rsidR="003E7DB2" w:rsidRPr="003E7DB2" w:rsidRDefault="00447F69" w:rsidP="003E7DB2">
      <w:pPr>
        <w:pStyle w:val="Akapitzlist"/>
        <w:numPr>
          <w:ilvl w:val="0"/>
          <w:numId w:val="5"/>
        </w:numPr>
        <w:jc w:val="both"/>
      </w:pPr>
      <w:r>
        <w:t>Kod i nazwa zamówienia wg Wspólnego Słownika Zamówień (CPV):</w:t>
      </w:r>
      <w:r w:rsidR="003E7DB2">
        <w:t xml:space="preserve"> </w:t>
      </w:r>
      <w:r w:rsidR="003E7DB2" w:rsidRPr="003E7DB2">
        <w:rPr>
          <w:rFonts w:eastAsia="Times New Roman" w:cs="Courier New"/>
          <w:bCs/>
          <w:lang w:eastAsia="pl-PL"/>
        </w:rPr>
        <w:t>85312320-8</w:t>
      </w:r>
    </w:p>
    <w:p w:rsidR="00A42E9F" w:rsidRDefault="00A42E9F" w:rsidP="007B3F9D">
      <w:pPr>
        <w:pStyle w:val="Akapitzlist"/>
        <w:numPr>
          <w:ilvl w:val="0"/>
          <w:numId w:val="5"/>
        </w:numPr>
        <w:jc w:val="both"/>
      </w:pPr>
      <w:r>
        <w:t>Bilans kompetencji obejmuje trzy edycje w projekcie:</w:t>
      </w:r>
    </w:p>
    <w:p w:rsidR="00A42E9F" w:rsidRDefault="00A42E9F" w:rsidP="00A42E9F">
      <w:pPr>
        <w:pStyle w:val="Akapitzlist"/>
        <w:jc w:val="both"/>
      </w:pPr>
    </w:p>
    <w:tbl>
      <w:tblPr>
        <w:tblStyle w:val="Tabela-Siatka"/>
        <w:tblW w:w="0" w:type="auto"/>
        <w:tblInd w:w="720" w:type="dxa"/>
        <w:tblLook w:val="04A0" w:firstRow="1" w:lastRow="0" w:firstColumn="1" w:lastColumn="0" w:noHBand="0" w:noVBand="1"/>
      </w:tblPr>
      <w:tblGrid>
        <w:gridCol w:w="806"/>
        <w:gridCol w:w="4906"/>
        <w:gridCol w:w="2856"/>
      </w:tblGrid>
      <w:tr w:rsidR="00A42E9F" w:rsidTr="00446A72">
        <w:tc>
          <w:tcPr>
            <w:tcW w:w="806" w:type="dxa"/>
          </w:tcPr>
          <w:p w:rsidR="00A42E9F" w:rsidRDefault="00A42E9F" w:rsidP="00446A72">
            <w:pPr>
              <w:pStyle w:val="Akapitzlist"/>
              <w:ind w:left="0"/>
              <w:jc w:val="both"/>
            </w:pPr>
            <w:r>
              <w:t>Edycja</w:t>
            </w:r>
          </w:p>
        </w:tc>
        <w:tc>
          <w:tcPr>
            <w:tcW w:w="4906" w:type="dxa"/>
          </w:tcPr>
          <w:p w:rsidR="00A42E9F" w:rsidRDefault="00A42E9F" w:rsidP="00446A72">
            <w:pPr>
              <w:pStyle w:val="Akapitzlist"/>
              <w:ind w:left="0"/>
              <w:jc w:val="both"/>
            </w:pPr>
            <w:r>
              <w:t>Orientacyjny czas trwania edycji</w:t>
            </w:r>
          </w:p>
        </w:tc>
        <w:tc>
          <w:tcPr>
            <w:tcW w:w="2856" w:type="dxa"/>
          </w:tcPr>
          <w:p w:rsidR="00A42E9F" w:rsidRDefault="00A42E9F" w:rsidP="00446A72">
            <w:pPr>
              <w:pStyle w:val="Akapitzlist"/>
              <w:ind w:left="0"/>
              <w:jc w:val="both"/>
            </w:pPr>
            <w:r>
              <w:t>Szacowana liczba uczestników projektu*</w:t>
            </w:r>
          </w:p>
        </w:tc>
      </w:tr>
      <w:tr w:rsidR="00A42E9F" w:rsidTr="00446A72">
        <w:tc>
          <w:tcPr>
            <w:tcW w:w="806" w:type="dxa"/>
          </w:tcPr>
          <w:p w:rsidR="00A42E9F" w:rsidRDefault="00A42E9F" w:rsidP="00446A72">
            <w:pPr>
              <w:pStyle w:val="Akapitzlist"/>
              <w:ind w:left="0"/>
              <w:jc w:val="both"/>
            </w:pPr>
            <w:r>
              <w:t>I.</w:t>
            </w:r>
          </w:p>
        </w:tc>
        <w:tc>
          <w:tcPr>
            <w:tcW w:w="4906" w:type="dxa"/>
          </w:tcPr>
          <w:p w:rsidR="00A42E9F" w:rsidRDefault="00A42E9F" w:rsidP="00A42E9F">
            <w:pPr>
              <w:pStyle w:val="Akapitzlist"/>
              <w:ind w:left="0"/>
              <w:jc w:val="both"/>
            </w:pPr>
            <w:r>
              <w:t>od podpisania umowy do październik 2019</w:t>
            </w:r>
          </w:p>
        </w:tc>
        <w:tc>
          <w:tcPr>
            <w:tcW w:w="2856" w:type="dxa"/>
          </w:tcPr>
          <w:p w:rsidR="00A42E9F" w:rsidRDefault="0003748C" w:rsidP="00446A72">
            <w:pPr>
              <w:pStyle w:val="Akapitzlist"/>
              <w:ind w:left="0"/>
              <w:jc w:val="both"/>
            </w:pPr>
            <w:r>
              <w:t>217</w:t>
            </w:r>
          </w:p>
        </w:tc>
      </w:tr>
      <w:tr w:rsidR="00A42E9F" w:rsidTr="00446A72">
        <w:tc>
          <w:tcPr>
            <w:tcW w:w="806" w:type="dxa"/>
          </w:tcPr>
          <w:p w:rsidR="00A42E9F" w:rsidRDefault="00A42E9F" w:rsidP="00446A72">
            <w:pPr>
              <w:pStyle w:val="Akapitzlist"/>
              <w:ind w:left="0"/>
              <w:jc w:val="both"/>
            </w:pPr>
            <w:r>
              <w:t>II.</w:t>
            </w:r>
          </w:p>
        </w:tc>
        <w:tc>
          <w:tcPr>
            <w:tcW w:w="4906" w:type="dxa"/>
          </w:tcPr>
          <w:p w:rsidR="00A42E9F" w:rsidRDefault="00A42E9F" w:rsidP="00446A72">
            <w:pPr>
              <w:pStyle w:val="Akapitzlist"/>
              <w:ind w:left="0"/>
              <w:jc w:val="both"/>
            </w:pPr>
            <w:r>
              <w:t>październik 2019 do październik 2020</w:t>
            </w:r>
          </w:p>
        </w:tc>
        <w:tc>
          <w:tcPr>
            <w:tcW w:w="2856" w:type="dxa"/>
          </w:tcPr>
          <w:p w:rsidR="00A42E9F" w:rsidRDefault="0003748C" w:rsidP="00446A72">
            <w:pPr>
              <w:pStyle w:val="Akapitzlist"/>
              <w:ind w:left="0"/>
              <w:jc w:val="both"/>
            </w:pPr>
            <w:r>
              <w:t>245</w:t>
            </w:r>
          </w:p>
        </w:tc>
      </w:tr>
      <w:tr w:rsidR="00A42E9F" w:rsidTr="00446A72">
        <w:tc>
          <w:tcPr>
            <w:tcW w:w="806" w:type="dxa"/>
          </w:tcPr>
          <w:p w:rsidR="00A42E9F" w:rsidRDefault="00A42E9F" w:rsidP="00446A72">
            <w:pPr>
              <w:pStyle w:val="Akapitzlist"/>
              <w:ind w:left="0"/>
              <w:jc w:val="both"/>
            </w:pPr>
            <w:r>
              <w:t>III.</w:t>
            </w:r>
          </w:p>
        </w:tc>
        <w:tc>
          <w:tcPr>
            <w:tcW w:w="4906" w:type="dxa"/>
          </w:tcPr>
          <w:p w:rsidR="00A42E9F" w:rsidRDefault="00A42E9F" w:rsidP="00446A72">
            <w:pPr>
              <w:pStyle w:val="Akapitzlist"/>
              <w:ind w:left="0"/>
              <w:jc w:val="both"/>
            </w:pPr>
            <w:r>
              <w:t>Październik 2020 do październik 2021</w:t>
            </w:r>
          </w:p>
        </w:tc>
        <w:tc>
          <w:tcPr>
            <w:tcW w:w="2856" w:type="dxa"/>
          </w:tcPr>
          <w:p w:rsidR="00A42E9F" w:rsidRDefault="0003748C" w:rsidP="00446A72">
            <w:pPr>
              <w:pStyle w:val="Akapitzlist"/>
              <w:ind w:left="0"/>
              <w:jc w:val="both"/>
            </w:pPr>
            <w:r>
              <w:t>245</w:t>
            </w:r>
          </w:p>
        </w:tc>
      </w:tr>
      <w:tr w:rsidR="00A42E9F" w:rsidTr="00446A72">
        <w:tc>
          <w:tcPr>
            <w:tcW w:w="8568" w:type="dxa"/>
            <w:gridSpan w:val="3"/>
          </w:tcPr>
          <w:p w:rsidR="00A42E9F" w:rsidRDefault="00A42E9F" w:rsidP="00A42E9F">
            <w:pPr>
              <w:pStyle w:val="Akapitzlist"/>
              <w:ind w:left="0"/>
              <w:jc w:val="both"/>
            </w:pPr>
            <w:r>
              <w:t>*Liczba studentów przystępujących do projektu w ramach poszczególnych edycji może ulec zmianie, z tym że łączna ilość bilansów w ramach wszystkich edycji wynosi:</w:t>
            </w:r>
          </w:p>
          <w:p w:rsidR="00A42E9F" w:rsidRDefault="00A42E9F" w:rsidP="00A42E9F">
            <w:pPr>
              <w:pStyle w:val="Akapitzlist"/>
              <w:ind w:left="0"/>
              <w:jc w:val="both"/>
            </w:pPr>
            <w:r>
              <w:t>1. Badania wejścia ex-ante: 707, przy czym w przypadku wyjścia studenta z projektu w trakcie realizacji wsparcia, ilość badań ulegnie zwiększeniu maksymalnie do 800.</w:t>
            </w:r>
          </w:p>
          <w:p w:rsidR="00A42E9F" w:rsidRDefault="00A42E9F" w:rsidP="00A42E9F">
            <w:pPr>
              <w:pStyle w:val="Akapitzlist"/>
              <w:ind w:left="0"/>
              <w:jc w:val="both"/>
            </w:pPr>
            <w:r>
              <w:t xml:space="preserve">2. Badania wyjścia ex – post: 707. </w:t>
            </w:r>
          </w:p>
        </w:tc>
      </w:tr>
    </w:tbl>
    <w:p w:rsidR="00A42E9F" w:rsidRDefault="00A42E9F" w:rsidP="00A42E9F">
      <w:pPr>
        <w:pStyle w:val="Akapitzlist"/>
        <w:jc w:val="both"/>
      </w:pPr>
    </w:p>
    <w:p w:rsidR="00A42E9F" w:rsidRDefault="00A42E9F" w:rsidP="007B3F9D">
      <w:pPr>
        <w:pStyle w:val="Akapitzlist"/>
        <w:numPr>
          <w:ilvl w:val="0"/>
          <w:numId w:val="5"/>
        </w:numPr>
        <w:jc w:val="both"/>
      </w:pPr>
      <w:r>
        <w:t>Bilans będzie prowadzony w ramach każdej edycji, w dwóch etapach:</w:t>
      </w:r>
    </w:p>
    <w:p w:rsidR="00A42E9F" w:rsidRDefault="00A42E9F" w:rsidP="00A42E9F">
      <w:pPr>
        <w:pStyle w:val="Akapitzlist"/>
        <w:numPr>
          <w:ilvl w:val="0"/>
          <w:numId w:val="13"/>
        </w:numPr>
        <w:jc w:val="both"/>
      </w:pPr>
      <w:r>
        <w:t>badania kompetencji ex ante</w:t>
      </w:r>
    </w:p>
    <w:p w:rsidR="00A42E9F" w:rsidRDefault="00A42E9F" w:rsidP="00A42E9F">
      <w:pPr>
        <w:pStyle w:val="Akapitzlist"/>
        <w:numPr>
          <w:ilvl w:val="0"/>
          <w:numId w:val="13"/>
        </w:numPr>
        <w:jc w:val="both"/>
      </w:pPr>
      <w:r>
        <w:t>badania kompetencji ex post</w:t>
      </w:r>
    </w:p>
    <w:p w:rsidR="00A42E9F" w:rsidRDefault="00A42E9F" w:rsidP="007B3F9D">
      <w:pPr>
        <w:pStyle w:val="Akapitzlist"/>
        <w:numPr>
          <w:ilvl w:val="0"/>
          <w:numId w:val="5"/>
        </w:numPr>
        <w:jc w:val="both"/>
      </w:pPr>
      <w:r>
        <w:t>Badanie ex ante nastąpi przed przystąpieniem studenta do wsparcia w ramach projektu</w:t>
      </w:r>
      <w:r w:rsidR="00D04BAA">
        <w:t xml:space="preserve"> i ma za zadanie zdiagnozowanie deficytów kompetencji każdego uczestnika projektu i dopasowanie do jego potrzeb działań projektowych</w:t>
      </w:r>
      <w:r>
        <w:t xml:space="preserve">. Badanie zostanie przeprowadzone na podstawie ankiet i kwestionariuszy przygotowanych przez Wykonawcę. Podczas badania zostanie dokonana ocena poziomu wejściowego kompetencji zawodowych, komunikacyjnych, </w:t>
      </w:r>
      <w:r w:rsidR="0053150E">
        <w:t>interpersonalnych, w zakresie przedsiębiorczości oraz językowych, potencjału</w:t>
      </w:r>
      <w:r>
        <w:t>, słabych i mocnych stron, identyfikująca potrzeby szkoleniowe. W oparciu o wyniki oceny poziomu wejściowego zostanie przeprowadzona rozmowa z uczestnikiem projektu i zostaną opracowane indywidulane fiszki z zaleceniami dla każdego uczestnika projektu.</w:t>
      </w:r>
      <w:r w:rsidR="00D04BAA">
        <w:t xml:space="preserve"> Podczas badania zostaną dobrane dla każdego uczestnika projektu szkolenia, wybrane spośród przewidzianych w projekcie szkoleń obszarowych.</w:t>
      </w:r>
    </w:p>
    <w:p w:rsidR="00A42E9F" w:rsidRDefault="00A42E9F" w:rsidP="007B3F9D">
      <w:pPr>
        <w:pStyle w:val="Akapitzlist"/>
        <w:numPr>
          <w:ilvl w:val="0"/>
          <w:numId w:val="5"/>
        </w:numPr>
        <w:jc w:val="both"/>
      </w:pPr>
      <w:r>
        <w:t>Badanie ex post nastąpi po uzyskaniu wsparcia w ramach projektu. W ramach badania zostanie przeprowadzona ocena stanu wyjściowego kompetencji zawodowych, komunikacyjnych</w:t>
      </w:r>
      <w:r w:rsidR="0053150E">
        <w:t>, interpersonalnych, w zakresie przedsiębiorczości oraz językowych</w:t>
      </w:r>
      <w:r>
        <w:t xml:space="preserve"> na podstawie przygotowanych przez Wykonawcę ankiet i kwestionariuszy. Badanie ma zweryfikować w jaki sposób udział w projekcie wpłynął na rozwój zawodowy (kompetencje, </w:t>
      </w:r>
      <w:r>
        <w:lastRenderedPageBreak/>
        <w:t>kwalifikacje, umiejętności) studenta oraz w jakim stopniu zminimalizował jego słabe strony i rozwinął mocne.</w:t>
      </w:r>
    </w:p>
    <w:p w:rsidR="00A42E9F" w:rsidRDefault="00A42E9F" w:rsidP="007B3F9D">
      <w:pPr>
        <w:pStyle w:val="Akapitzlist"/>
        <w:numPr>
          <w:ilvl w:val="0"/>
          <w:numId w:val="5"/>
        </w:numPr>
        <w:jc w:val="both"/>
      </w:pPr>
      <w:r>
        <w:t>Każdy uczestnik projektu odbędzie indywidualne spotkanie z doradcą zawodowym/metodykiem w wymiarze: 2h przed wsparciem – w ramach badania ex ante i 2h po otrzymaniu wsparcia w ramach badania ex post. 1 h = 60 min.</w:t>
      </w:r>
    </w:p>
    <w:p w:rsidR="00A42E9F" w:rsidRDefault="00A42E9F" w:rsidP="007B3F9D">
      <w:pPr>
        <w:pStyle w:val="Akapitzlist"/>
        <w:numPr>
          <w:ilvl w:val="0"/>
          <w:numId w:val="5"/>
        </w:numPr>
        <w:jc w:val="both"/>
      </w:pPr>
      <w:r>
        <w:t xml:space="preserve">Dla każdej edycji Wykonawca opracuje raport końcowy </w:t>
      </w:r>
      <w:r w:rsidR="00F15B7E">
        <w:t xml:space="preserve">(w ramach badania ex-post) </w:t>
      </w:r>
      <w:r>
        <w:t>zawierający szczegółowe wyniki kompetencyjne w kontekście udzielonego wsparcia. Raport zbada i przedstawi różnicę pomiędzy stanem kompetencji i kwalifikacji uczestnika projektu przed rozpoczęciem projektu i po otrzymaniu wsparcia.</w:t>
      </w:r>
    </w:p>
    <w:p w:rsidR="00A42E9F" w:rsidRDefault="00A42E9F" w:rsidP="007B3F9D">
      <w:pPr>
        <w:pStyle w:val="Akapitzlist"/>
        <w:numPr>
          <w:ilvl w:val="0"/>
          <w:numId w:val="5"/>
        </w:numPr>
        <w:jc w:val="both"/>
      </w:pPr>
      <w:r>
        <w:t>Miejscem realizacji zamówienia (prowadzenia bilansu) będzie budynek Zamawiającego przy Al. Armii Krajowej 13/15 w Częstochowie. Sale do prowadzenia bilansu Zamawiający udostępni Wykonawcy nieodpłatnie.</w:t>
      </w:r>
    </w:p>
    <w:p w:rsidR="00A42E9F" w:rsidRDefault="00A42E9F" w:rsidP="007B3F9D">
      <w:pPr>
        <w:pStyle w:val="Akapitzlist"/>
        <w:numPr>
          <w:ilvl w:val="0"/>
          <w:numId w:val="5"/>
        </w:numPr>
        <w:jc w:val="both"/>
      </w:pPr>
      <w:r>
        <w:t>Przedmiot zamówienia będzie wykonywany w okresie realizacji projektu, tj. od dnia podpisania umowy</w:t>
      </w:r>
      <w:r w:rsidR="0053150E">
        <w:t xml:space="preserve"> maksymalnie do dnia 30.</w:t>
      </w:r>
      <w:r>
        <w:t>0</w:t>
      </w:r>
      <w:r w:rsidR="0053150E">
        <w:t>9</w:t>
      </w:r>
      <w:r>
        <w:t>.2021 r.,</w:t>
      </w:r>
      <w:r w:rsidR="007B3F9D">
        <w:t xml:space="preserve"> z uwzględnieniem zapisów pkt 11</w:t>
      </w:r>
      <w:r>
        <w:t xml:space="preserve"> – 1</w:t>
      </w:r>
      <w:r w:rsidR="007B3F9D">
        <w:t>3</w:t>
      </w:r>
      <w:r>
        <w:t>.</w:t>
      </w:r>
      <w:r w:rsidR="00A17E9D">
        <w:t xml:space="preserve"> Termin zakończenia projektu – 3</w:t>
      </w:r>
      <w:r w:rsidR="0053150E">
        <w:t>0.09</w:t>
      </w:r>
      <w:r w:rsidR="00A17E9D">
        <w:t xml:space="preserve">.2021 może zostać wydłużony w przypadku </w:t>
      </w:r>
      <w:r w:rsidR="007B7589">
        <w:t xml:space="preserve">przedłużenia realizacji zadań projektu </w:t>
      </w:r>
      <w:r w:rsidR="0053150E">
        <w:t xml:space="preserve">za zgodą </w:t>
      </w:r>
      <w:r w:rsidR="007B7589">
        <w:t>Instytucj</w:t>
      </w:r>
      <w:r w:rsidR="0053150E">
        <w:t>i Pośredniczącej</w:t>
      </w:r>
      <w:r w:rsidR="007B7589">
        <w:t>.</w:t>
      </w:r>
    </w:p>
    <w:p w:rsidR="00A42E9F" w:rsidRDefault="00A42E9F" w:rsidP="007B3F9D">
      <w:pPr>
        <w:pStyle w:val="Akapitzlist"/>
        <w:numPr>
          <w:ilvl w:val="0"/>
          <w:numId w:val="5"/>
        </w:numPr>
        <w:jc w:val="both"/>
      </w:pPr>
      <w:r>
        <w:t>Zadania bilansowe będą prowadzone od poniedziałku do piątku w godzinach od 08:00 do 20:00, a za zgodą Zamawiającego i uczestnika projektu, także w soboty i/lub niedziele.</w:t>
      </w:r>
    </w:p>
    <w:p w:rsidR="00A42E9F" w:rsidRPr="007B3F9D" w:rsidRDefault="00A42E9F" w:rsidP="007B3F9D">
      <w:pPr>
        <w:pStyle w:val="Akapitzlist"/>
        <w:numPr>
          <w:ilvl w:val="0"/>
          <w:numId w:val="5"/>
        </w:numPr>
        <w:jc w:val="both"/>
      </w:pPr>
      <w:r>
        <w:t xml:space="preserve">Rozpoczęcie pierwszego etapu bilansu (badanie ex-ante) w ramach edycji I nastąpi w ciągu 3 </w:t>
      </w:r>
      <w:r w:rsidRPr="007B3F9D">
        <w:t xml:space="preserve">dni roboczych licząc od dnia podpisania umowy. O datach rozpoczęcia pierwszego etapu bilansu (badanie ex ante) dla kolejnych edycji Zamawiający będzie informował z wyprzedzeniem co najmniej 3 dni roboczych. </w:t>
      </w:r>
    </w:p>
    <w:p w:rsidR="00A42E9F" w:rsidRPr="007B3F9D" w:rsidRDefault="00A42E9F" w:rsidP="007B3F9D">
      <w:pPr>
        <w:pStyle w:val="Akapitzlist"/>
        <w:numPr>
          <w:ilvl w:val="0"/>
          <w:numId w:val="5"/>
        </w:numPr>
        <w:jc w:val="both"/>
      </w:pPr>
      <w:r w:rsidRPr="007B3F9D">
        <w:t>Daty rozpoczęcia drugiego etapu bilansu (badanie ex-post) uzależnione są od długości udziału studenta w projekcie. Harmonogram badań ex-post będzie przekazywany Wykonawcy przez Zamawiającego z wyprzedzeniem przynajmniej 3 dni roboczych.</w:t>
      </w:r>
    </w:p>
    <w:p w:rsidR="00F15B7E" w:rsidRPr="007B3F9D" w:rsidRDefault="00A42E9F" w:rsidP="007B3F9D">
      <w:pPr>
        <w:pStyle w:val="Akapitzlist"/>
        <w:numPr>
          <w:ilvl w:val="0"/>
          <w:numId w:val="5"/>
        </w:numPr>
        <w:jc w:val="both"/>
      </w:pPr>
      <w:r w:rsidRPr="007B3F9D">
        <w:t>Przekazanie rezultatu badania ex-ant</w:t>
      </w:r>
      <w:r w:rsidR="00F15B7E" w:rsidRPr="007B3F9D">
        <w:t>e oraz ex post będzie następowało w ciągu 14</w:t>
      </w:r>
      <w:r w:rsidRPr="007B3F9D">
        <w:t xml:space="preserve"> dni</w:t>
      </w:r>
      <w:r w:rsidR="001075D2">
        <w:t xml:space="preserve"> roboczych</w:t>
      </w:r>
      <w:r w:rsidRPr="007B3F9D">
        <w:t xml:space="preserve"> od daty rozpoczęcia badania, wyznaczonej </w:t>
      </w:r>
      <w:r w:rsidR="00F15B7E" w:rsidRPr="007B3F9D">
        <w:t xml:space="preserve">zgodnie z pkt </w:t>
      </w:r>
      <w:r w:rsidR="007B3F9D" w:rsidRPr="007B3F9D">
        <w:t>12 – 13</w:t>
      </w:r>
      <w:r w:rsidR="00F15B7E" w:rsidRPr="007B3F9D">
        <w:t>.</w:t>
      </w:r>
    </w:p>
    <w:p w:rsidR="00A42E9F" w:rsidRPr="007B3F9D" w:rsidRDefault="00A42E9F" w:rsidP="007B3F9D">
      <w:pPr>
        <w:pStyle w:val="Akapitzlist"/>
        <w:numPr>
          <w:ilvl w:val="0"/>
          <w:numId w:val="5"/>
        </w:numPr>
        <w:jc w:val="both"/>
      </w:pPr>
      <w:r w:rsidRPr="007B3F9D">
        <w:t xml:space="preserve">Wykonawca zobowiązany jest we własnym zakresie przygotować materiały i inne narzędzia niezbędne do realizacji bilansu. </w:t>
      </w:r>
    </w:p>
    <w:p w:rsidR="00A42E9F" w:rsidRDefault="00A42E9F" w:rsidP="007B3F9D">
      <w:pPr>
        <w:pStyle w:val="Akapitzlist"/>
        <w:numPr>
          <w:ilvl w:val="0"/>
          <w:numId w:val="5"/>
        </w:numPr>
        <w:jc w:val="both"/>
      </w:pPr>
      <w:r>
        <w:t>Wykonawca zobowiązany jest do sporządzenia i przedłożenia do podpisu uczestnikom list obecności podczas każdego etapu bilansu i przedłożenie ich Zamawiającemu.</w:t>
      </w:r>
    </w:p>
    <w:p w:rsidR="00A42E9F" w:rsidRDefault="00A42E9F" w:rsidP="007B3F9D">
      <w:pPr>
        <w:pStyle w:val="Akapitzlist"/>
        <w:numPr>
          <w:ilvl w:val="0"/>
          <w:numId w:val="5"/>
        </w:numPr>
        <w:jc w:val="both"/>
      </w:pPr>
      <w:r>
        <w:t>Wykonawca zobowiązany jest prowadzić dokumentację przebiegu bilansu i przedłożyć ją zamawiającemu (sukcesywnie, na koniec każdego z badań w ramach poszczególnych edycji).</w:t>
      </w:r>
    </w:p>
    <w:p w:rsidR="00D04BAA" w:rsidRDefault="00D04BAA" w:rsidP="007B3F9D">
      <w:pPr>
        <w:pStyle w:val="Akapitzlist"/>
        <w:numPr>
          <w:ilvl w:val="0"/>
          <w:numId w:val="5"/>
        </w:numPr>
        <w:jc w:val="both"/>
      </w:pPr>
      <w:r>
        <w:t xml:space="preserve">Wykonawca zobowiązany jest do oznakowania wszystkich dokumentów przekazywanych uczestnikom projektu lub zamawiającemu, zgodnie z aktualnie obowiązującymi zasadami Podręcznika wnioskodawcy i beneficjenta programów polityki spójności </w:t>
      </w:r>
      <w:r w:rsidR="00A17E9D">
        <w:t>2014-2020 w zakresie informacji i promocji.</w:t>
      </w:r>
    </w:p>
    <w:p w:rsidR="00A42E9F" w:rsidRDefault="00A42E9F" w:rsidP="007B3F9D">
      <w:pPr>
        <w:pStyle w:val="Akapitzlist"/>
        <w:numPr>
          <w:ilvl w:val="0"/>
          <w:numId w:val="5"/>
        </w:numPr>
        <w:jc w:val="both"/>
      </w:pPr>
      <w:r>
        <w:t>Wynagrodzenie będzie płatne za rzeczywiście wykonane bilanse. Rozliczenie będzie następowało na podstawie protokołu od</w:t>
      </w:r>
      <w:r w:rsidR="00B92CE5">
        <w:t>bioru udokumentowanego badania, nie częściej niż co miesiąc.</w:t>
      </w:r>
    </w:p>
    <w:p w:rsidR="00447F69" w:rsidRPr="00F15B7E" w:rsidRDefault="00447F69" w:rsidP="00447F69">
      <w:pPr>
        <w:ind w:left="360"/>
        <w:rPr>
          <w:b/>
        </w:rPr>
      </w:pPr>
      <w:r w:rsidRPr="00F15B7E">
        <w:rPr>
          <w:b/>
        </w:rPr>
        <w:lastRenderedPageBreak/>
        <w:t>Rozdział 3: Warunki Udziału w Postępowaniu</w:t>
      </w:r>
    </w:p>
    <w:p w:rsidR="00447F69" w:rsidRDefault="00447F69" w:rsidP="007242CE">
      <w:pPr>
        <w:pStyle w:val="Akapitzlist"/>
        <w:numPr>
          <w:ilvl w:val="0"/>
          <w:numId w:val="6"/>
        </w:numPr>
        <w:jc w:val="both"/>
      </w:pPr>
      <w:r>
        <w:t>O udzielenie zamówienia mogą ubiegać się wykonawcy, którzy:</w:t>
      </w:r>
    </w:p>
    <w:p w:rsidR="00447F69" w:rsidRPr="007C5264" w:rsidRDefault="00334121" w:rsidP="007242CE">
      <w:pPr>
        <w:pStyle w:val="Akapitzlist"/>
        <w:numPr>
          <w:ilvl w:val="1"/>
          <w:numId w:val="6"/>
        </w:numPr>
        <w:jc w:val="both"/>
        <w:rPr>
          <w:b/>
        </w:rPr>
      </w:pPr>
      <w:r w:rsidRPr="007C5264">
        <w:rPr>
          <w:b/>
        </w:rPr>
        <w:t>Nie podlegają wykluczeniu z postępowania w związku z zaistnieniem którejkolwiek z przesłanek określonych w art. 24 ust. 1 pkt 12-23 oraz ust. 5 pkt 1 Ustawy.</w:t>
      </w:r>
    </w:p>
    <w:p w:rsidR="00334121" w:rsidRDefault="00334121" w:rsidP="007242CE">
      <w:pPr>
        <w:pStyle w:val="Akapitzlist"/>
        <w:numPr>
          <w:ilvl w:val="1"/>
          <w:numId w:val="6"/>
        </w:numPr>
        <w:jc w:val="both"/>
      </w:pPr>
      <w:r w:rsidRPr="007C5264">
        <w:rPr>
          <w:b/>
        </w:rPr>
        <w:t>Posiadają wiedzę i doświadczenie</w:t>
      </w:r>
      <w:r>
        <w:t xml:space="preserve"> polegające na należytym zrealizowaniu </w:t>
      </w:r>
      <w:r w:rsidRPr="007C5264">
        <w:rPr>
          <w:b/>
        </w:rPr>
        <w:t>w ciągu ostatnich 5 lat</w:t>
      </w:r>
      <w:r>
        <w:t xml:space="preserve"> przed upływem terminu składania ofert, a jeżeli okres prowadzenia działalności jest krótszy – w tym okresie </w:t>
      </w:r>
      <w:r w:rsidRPr="007C5264">
        <w:rPr>
          <w:b/>
        </w:rPr>
        <w:t xml:space="preserve">minimum jednej usługi (umowy), która obejmowała </w:t>
      </w:r>
      <w:r w:rsidR="007242CE" w:rsidRPr="007C5264">
        <w:rPr>
          <w:b/>
        </w:rPr>
        <w:t>przygotowanie i przeprowadzenie bilansu kompetencji minimum 100 osób</w:t>
      </w:r>
      <w:r w:rsidR="007242CE">
        <w:t>.</w:t>
      </w:r>
    </w:p>
    <w:p w:rsidR="001C6ABA" w:rsidRPr="001C6ABA" w:rsidRDefault="001C6ABA" w:rsidP="001C6ABA">
      <w:pPr>
        <w:pStyle w:val="Akapitzlist"/>
        <w:ind w:left="1080"/>
        <w:jc w:val="both"/>
        <w:rPr>
          <w:i/>
        </w:rPr>
      </w:pPr>
      <w:r w:rsidRPr="001C6ABA">
        <w:rPr>
          <w:i/>
        </w:rPr>
        <w:t>Zamawiający uwzględni również umowy będące w trakcie realizacji jeżeli zrealizowany zakres usługi obejmuje przygotowanie i przeprowadzenie bilansu kompetencji minimum 100 osób.</w:t>
      </w:r>
    </w:p>
    <w:p w:rsidR="007242CE" w:rsidRDefault="007242CE" w:rsidP="007242CE">
      <w:pPr>
        <w:pStyle w:val="Akapitzlist"/>
        <w:numPr>
          <w:ilvl w:val="1"/>
          <w:numId w:val="6"/>
        </w:numPr>
        <w:jc w:val="both"/>
      </w:pPr>
      <w:r w:rsidRPr="007C5264">
        <w:rPr>
          <w:b/>
        </w:rPr>
        <w:t>Dysponują przynajmniej 5 osobami</w:t>
      </w:r>
      <w:r>
        <w:t>, które będą przeprowadzały badania bilansowe, z których każda łącznie spełnia następujące wymagania:</w:t>
      </w:r>
    </w:p>
    <w:p w:rsidR="007242CE" w:rsidRDefault="007242CE" w:rsidP="007242CE">
      <w:pPr>
        <w:pStyle w:val="Akapitzlist"/>
        <w:numPr>
          <w:ilvl w:val="0"/>
          <w:numId w:val="7"/>
        </w:numPr>
        <w:jc w:val="both"/>
      </w:pPr>
      <w:r>
        <w:t xml:space="preserve">Posiada </w:t>
      </w:r>
      <w:r w:rsidR="001A0FC3" w:rsidRPr="007C5264">
        <w:rPr>
          <w:b/>
        </w:rPr>
        <w:t>co najmniej 24 miesiące doświadczenia zawodowego</w:t>
      </w:r>
      <w:r w:rsidR="001A0FC3">
        <w:t xml:space="preserve"> w realizacji usług </w:t>
      </w:r>
      <w:r w:rsidR="001A0FC3" w:rsidRPr="007C5264">
        <w:rPr>
          <w:b/>
        </w:rPr>
        <w:t>doradztwa zawodowego</w:t>
      </w:r>
      <w:r w:rsidR="001A0FC3">
        <w:t>;</w:t>
      </w:r>
    </w:p>
    <w:p w:rsidR="001A0FC3" w:rsidRDefault="001A0FC3" w:rsidP="007242CE">
      <w:pPr>
        <w:pStyle w:val="Akapitzlist"/>
        <w:numPr>
          <w:ilvl w:val="0"/>
          <w:numId w:val="7"/>
        </w:numPr>
        <w:jc w:val="both"/>
      </w:pPr>
      <w:r w:rsidRPr="007C5264">
        <w:rPr>
          <w:b/>
        </w:rPr>
        <w:t>W okresie ostatnich 5 lat</w:t>
      </w:r>
      <w:r>
        <w:t xml:space="preserve"> przed </w:t>
      </w:r>
      <w:r w:rsidR="007C5264">
        <w:t xml:space="preserve">upływem terminu składania ofert, a jeżeli okres prowadzenia działalności jest krótszy – w tym okresie, </w:t>
      </w:r>
      <w:r w:rsidRPr="007C5264">
        <w:rPr>
          <w:b/>
        </w:rPr>
        <w:t>objęła działaniami doradztwa zawodowego i opracowała raporty z przeprowadzonych diagnoz/bilansów</w:t>
      </w:r>
      <w:r>
        <w:t xml:space="preserve"> </w:t>
      </w:r>
      <w:r w:rsidRPr="007C5264">
        <w:rPr>
          <w:b/>
        </w:rPr>
        <w:t>kompetencji dla przynajmniej 50 osób</w:t>
      </w:r>
      <w:r>
        <w:t>;</w:t>
      </w:r>
    </w:p>
    <w:p w:rsidR="001A0FC3" w:rsidRDefault="001A0FC3" w:rsidP="007242CE">
      <w:pPr>
        <w:pStyle w:val="Akapitzlist"/>
        <w:numPr>
          <w:ilvl w:val="0"/>
          <w:numId w:val="7"/>
        </w:numPr>
        <w:jc w:val="both"/>
      </w:pPr>
      <w:r w:rsidRPr="007C5264">
        <w:rPr>
          <w:b/>
        </w:rPr>
        <w:t>W okresie ostatnich 5 lat</w:t>
      </w:r>
      <w:r>
        <w:t xml:space="preserve"> przed upływem terminu składania ofert</w:t>
      </w:r>
      <w:r w:rsidR="007C5264">
        <w:t>, a jeżeli okres prowadzenia działalności jest krótszy – w tym okresie</w:t>
      </w:r>
      <w:r w:rsidR="007C5264" w:rsidRPr="007C5264">
        <w:rPr>
          <w:b/>
        </w:rPr>
        <w:t>,</w:t>
      </w:r>
      <w:r w:rsidRPr="007C5264">
        <w:rPr>
          <w:b/>
        </w:rPr>
        <w:t xml:space="preserve"> zrealizowała </w:t>
      </w:r>
      <w:r w:rsidR="00E0527A" w:rsidRPr="007C5264">
        <w:rPr>
          <w:b/>
        </w:rPr>
        <w:t>min. 2</w:t>
      </w:r>
      <w:r w:rsidRPr="007C5264">
        <w:rPr>
          <w:b/>
        </w:rPr>
        <w:t xml:space="preserve">00 godzin </w:t>
      </w:r>
      <w:r w:rsidR="00E0527A" w:rsidRPr="007C5264">
        <w:rPr>
          <w:b/>
        </w:rPr>
        <w:t>doradztwa zawodowego w zakresie diagnozy predyspozycji zawodowych</w:t>
      </w:r>
      <w:r w:rsidR="00E0527A">
        <w:t>.</w:t>
      </w:r>
    </w:p>
    <w:p w:rsidR="00B21B3F" w:rsidRDefault="00F93DB5" w:rsidP="00F321C8">
      <w:pPr>
        <w:pStyle w:val="Akapitzlist"/>
        <w:numPr>
          <w:ilvl w:val="0"/>
          <w:numId w:val="6"/>
        </w:numPr>
        <w:jc w:val="both"/>
      </w:pPr>
      <w:r>
        <w:t>Wykonawca w celu wykazania spełnienia warunków udziału w postępowaniu określonych w pkt 1.2.</w:t>
      </w:r>
      <w:r w:rsidR="007C5264">
        <w:t xml:space="preserve"> – 1.3.</w:t>
      </w:r>
      <w:r w:rsidR="00B21B3F">
        <w:t xml:space="preserve"> może polegać na zasobach innych podmiotów, niezależnie od charakteru łączących go z nim stosunków prawnych, przy spełnieniu następujących warunków:</w:t>
      </w:r>
    </w:p>
    <w:p w:rsidR="00B21B3F" w:rsidRDefault="00B21B3F" w:rsidP="00F321C8">
      <w:pPr>
        <w:pStyle w:val="Akapitzlist"/>
        <w:numPr>
          <w:ilvl w:val="0"/>
          <w:numId w:val="8"/>
        </w:numPr>
        <w:jc w:val="both"/>
      </w:pPr>
      <w:r>
        <w:t>Wykonawca, który polega na zasobach innych podmiotów zobowiązany jest udowodnić Zamawiającemu, że realizując zamówienie będzie dysponował niezbędnymi zasobami tych podmiotów, w szczególności przedstawiając pisemne zobowiązanie tych podmiotów do oddania mu do dyspozycji niezbędnych zasobów na potrzeby realizacji zamówienia;</w:t>
      </w:r>
    </w:p>
    <w:p w:rsidR="00B21B3F" w:rsidRDefault="00B21B3F" w:rsidP="00F321C8">
      <w:pPr>
        <w:pStyle w:val="Akapitzlist"/>
        <w:numPr>
          <w:ilvl w:val="0"/>
          <w:numId w:val="8"/>
        </w:numPr>
        <w:jc w:val="both"/>
      </w:pPr>
      <w:r>
        <w:t>Podmioty trzecie udostępniające swoje zasoby w zakresie pkt 1.2. – 1.3. muszą realizować usługi, do realizacji których zdolności te są wymagane;</w:t>
      </w:r>
    </w:p>
    <w:p w:rsidR="00B21B3F" w:rsidRDefault="00B21B3F" w:rsidP="00841C4E">
      <w:pPr>
        <w:pStyle w:val="Akapitzlist"/>
        <w:numPr>
          <w:ilvl w:val="0"/>
          <w:numId w:val="8"/>
        </w:numPr>
        <w:jc w:val="both"/>
      </w:pPr>
      <w:r>
        <w:t>Ze zobowiązania lub innych dokumentów złożonych w ofercie musi jednoznacznie wynikać:</w:t>
      </w:r>
    </w:p>
    <w:p w:rsidR="00B21B3F" w:rsidRDefault="00B21B3F" w:rsidP="00841C4E">
      <w:pPr>
        <w:pStyle w:val="Akapitzlist"/>
        <w:numPr>
          <w:ilvl w:val="0"/>
          <w:numId w:val="9"/>
        </w:numPr>
        <w:jc w:val="both"/>
      </w:pPr>
      <w:r>
        <w:t>Zakres dostępnych wykonawcy zasobów innego podmiotu;</w:t>
      </w:r>
    </w:p>
    <w:p w:rsidR="00B21B3F" w:rsidRDefault="00B21B3F" w:rsidP="00841C4E">
      <w:pPr>
        <w:pStyle w:val="Akapitzlist"/>
        <w:numPr>
          <w:ilvl w:val="0"/>
          <w:numId w:val="9"/>
        </w:numPr>
        <w:jc w:val="both"/>
      </w:pPr>
      <w:r>
        <w:t>Sposób wykorzystania zasobów innego podmiotu przez wykonawcę przy realizowaniu zamówienia;</w:t>
      </w:r>
    </w:p>
    <w:p w:rsidR="00B21B3F" w:rsidRDefault="00B21B3F" w:rsidP="00841C4E">
      <w:pPr>
        <w:pStyle w:val="Akapitzlist"/>
        <w:numPr>
          <w:ilvl w:val="0"/>
          <w:numId w:val="9"/>
        </w:numPr>
        <w:jc w:val="both"/>
      </w:pPr>
      <w:r>
        <w:t>Zakres i okres udziału innego podmiotu przy wykonywaniu zamówienia;</w:t>
      </w:r>
    </w:p>
    <w:p w:rsidR="00B21B3F" w:rsidRDefault="00F321C8" w:rsidP="00841C4E">
      <w:pPr>
        <w:pStyle w:val="Akapitzlist"/>
        <w:numPr>
          <w:ilvl w:val="0"/>
          <w:numId w:val="9"/>
        </w:numPr>
        <w:jc w:val="both"/>
      </w:pPr>
      <w:r>
        <w:lastRenderedPageBreak/>
        <w:t>Czy podmiot, na zasobach którego polega wykonawca zrealizuje usługi, których wskazane zdolności dotyczą;</w:t>
      </w:r>
    </w:p>
    <w:p w:rsidR="00F321C8" w:rsidRDefault="00F321C8" w:rsidP="00B92CE5">
      <w:pPr>
        <w:pStyle w:val="Akapitzlist"/>
        <w:numPr>
          <w:ilvl w:val="0"/>
          <w:numId w:val="6"/>
        </w:numPr>
        <w:jc w:val="both"/>
      </w:pPr>
      <w:r>
        <w:t>W stosunku do podmiotu udostępniającego zasoby nie zachodzi żadna z przesłanek określ</w:t>
      </w:r>
      <w:r w:rsidR="00B450CB">
        <w:t>onych w art. 24 ust. 1 pkt 12-22</w:t>
      </w:r>
      <w:r>
        <w:t xml:space="preserve"> oraz ust. 5 pkt 1 Ustawy.</w:t>
      </w:r>
    </w:p>
    <w:p w:rsidR="00447F69" w:rsidRDefault="00F321C8" w:rsidP="00841C4E">
      <w:pPr>
        <w:pStyle w:val="Akapitzlist"/>
        <w:numPr>
          <w:ilvl w:val="0"/>
          <w:numId w:val="6"/>
        </w:numPr>
        <w:jc w:val="both"/>
      </w:pPr>
      <w:r>
        <w:t xml:space="preserve">Wykonawcy mogą wspólnie ubiegać się o udzielenie zamówienia publicznego. W takim przypadku warunki określone w pkt </w:t>
      </w:r>
      <w:r w:rsidR="00B92CE5">
        <w:t xml:space="preserve">1.1. musi spełniać każdy z tych wykonawców, natomiast warunki określone w pkt </w:t>
      </w:r>
      <w:r>
        <w:t>1</w:t>
      </w:r>
      <w:r w:rsidR="00B92CE5">
        <w:t>.2.-1.3.</w:t>
      </w:r>
      <w:r>
        <w:t xml:space="preserve"> musi spełniać przynajmniej jeden wykonawca samodzielnie lub wszyscy wykonawcy wspólnie.</w:t>
      </w:r>
    </w:p>
    <w:p w:rsidR="00447F69" w:rsidRDefault="00F321C8" w:rsidP="00841C4E">
      <w:pPr>
        <w:pStyle w:val="Akapitzlist"/>
        <w:numPr>
          <w:ilvl w:val="0"/>
          <w:numId w:val="6"/>
        </w:numPr>
        <w:jc w:val="both"/>
      </w:pPr>
      <w:r>
        <w:t>Zamawiający będzie oceniał spełnianie warunków udziału w postępowaniu w oparc</w:t>
      </w:r>
      <w:r w:rsidR="007B3F9D">
        <w:t xml:space="preserve">iu o wymagane dokumenty, zgodnie z Rozdziałem 4. </w:t>
      </w:r>
    </w:p>
    <w:p w:rsidR="00406499" w:rsidRDefault="00406499" w:rsidP="00841C4E">
      <w:pPr>
        <w:pStyle w:val="Akapitzlist"/>
        <w:numPr>
          <w:ilvl w:val="0"/>
          <w:numId w:val="6"/>
        </w:numPr>
        <w:jc w:val="both"/>
      </w:pPr>
      <w:r>
        <w:t xml:space="preserve">Zamawiający może, na każdym etapie postępowania, uznać, że Wykonawca nie posiada wymaganych zdolności, jeżeli zaangażowanie zasobów </w:t>
      </w:r>
      <w:r w:rsidR="00EA4D19">
        <w:t>technicznych lub zawodowych Wykonawcy w inne przedsięwzięcie Wykonawcy może mieć negatywny wpływ na realizację zamówienia.</w:t>
      </w:r>
    </w:p>
    <w:p w:rsidR="00623832" w:rsidRPr="003608B3" w:rsidRDefault="00623832" w:rsidP="00841C4E">
      <w:pPr>
        <w:ind w:left="360"/>
        <w:jc w:val="both"/>
        <w:rPr>
          <w:b/>
        </w:rPr>
      </w:pPr>
      <w:r w:rsidRPr="003608B3">
        <w:rPr>
          <w:b/>
        </w:rPr>
        <w:t>Rozdział 4. Wykaz wymaganych dokumentów i oświadczeń</w:t>
      </w:r>
    </w:p>
    <w:p w:rsidR="00447F69" w:rsidRDefault="00623832" w:rsidP="00841C4E">
      <w:pPr>
        <w:pStyle w:val="Akapitzlist"/>
        <w:numPr>
          <w:ilvl w:val="0"/>
          <w:numId w:val="10"/>
        </w:numPr>
        <w:jc w:val="both"/>
      </w:pPr>
      <w:r>
        <w:t xml:space="preserve">W celu wykazania spełniania warunków udziału w postępowaniu Wykonawca zobowiązany jest złożyć </w:t>
      </w:r>
      <w:r w:rsidRPr="00623832">
        <w:rPr>
          <w:b/>
          <w:u w:val="single"/>
        </w:rPr>
        <w:t>łącznie z ofertą</w:t>
      </w:r>
      <w:r>
        <w:t xml:space="preserve"> następujące dokumenty i oświadczenia:</w:t>
      </w:r>
    </w:p>
    <w:p w:rsidR="00623832" w:rsidRDefault="00623832" w:rsidP="00841C4E">
      <w:pPr>
        <w:pStyle w:val="Akapitzlist"/>
        <w:numPr>
          <w:ilvl w:val="1"/>
          <w:numId w:val="10"/>
        </w:numPr>
        <w:jc w:val="both"/>
      </w:pPr>
      <w:r>
        <w:t xml:space="preserve">Aktualne na dzień składania ofert </w:t>
      </w:r>
      <w:r w:rsidRPr="00623832">
        <w:rPr>
          <w:b/>
        </w:rPr>
        <w:t>oświadczenie</w:t>
      </w:r>
      <w:r>
        <w:t xml:space="preserve"> w zakre</w:t>
      </w:r>
      <w:r w:rsidR="007B3F9D">
        <w:t>sie wskazanym w załączniku nr 2</w:t>
      </w:r>
      <w:r>
        <w:t xml:space="preserve"> do Ogłoszenia. </w:t>
      </w:r>
      <w:r w:rsidR="00001D42">
        <w:t xml:space="preserve">Oświadczenie należy złożyć w formie pisemnej (oryginał oświadczenia). </w:t>
      </w:r>
    </w:p>
    <w:p w:rsidR="001817AC" w:rsidRDefault="00623832" w:rsidP="00841C4E">
      <w:pPr>
        <w:pStyle w:val="Akapitzlist"/>
        <w:numPr>
          <w:ilvl w:val="1"/>
          <w:numId w:val="10"/>
        </w:numPr>
        <w:jc w:val="both"/>
      </w:pPr>
      <w:r>
        <w:t>W przypadku wy</w:t>
      </w:r>
      <w:r w:rsidR="005A1394">
        <w:t xml:space="preserve">konawców wspólnie ubiegających się o zamówienie oświadczenie w zakresie braku podstaw </w:t>
      </w:r>
      <w:r w:rsidR="00001D42">
        <w:t>do wykluczenia z postepowania (R</w:t>
      </w:r>
      <w:r w:rsidR="005A1394">
        <w:t xml:space="preserve">ozdział 3 pkt 1.1.) składa każdy z tych wykonawców oraz odnośnie </w:t>
      </w:r>
      <w:r w:rsidR="00001D42">
        <w:t xml:space="preserve">warunków określonych w Rozdziale 3 </w:t>
      </w:r>
      <w:r w:rsidR="005A1394">
        <w:t>pkt 1.2.</w:t>
      </w:r>
      <w:r w:rsidR="00B342B2">
        <w:t>, 1.3.</w:t>
      </w:r>
      <w:r w:rsidR="005A1394">
        <w:t xml:space="preserve"> – w zakresie w jakim spełnia </w:t>
      </w:r>
      <w:r w:rsidR="00001D42">
        <w:t xml:space="preserve">te </w:t>
      </w:r>
      <w:r w:rsidR="005A1394">
        <w:t>warunki.</w:t>
      </w:r>
    </w:p>
    <w:p w:rsidR="001817AC" w:rsidRPr="001817AC" w:rsidRDefault="00001D42" w:rsidP="00841C4E">
      <w:pPr>
        <w:pStyle w:val="Akapitzlist"/>
        <w:numPr>
          <w:ilvl w:val="1"/>
          <w:numId w:val="10"/>
        </w:numPr>
        <w:jc w:val="both"/>
      </w:pPr>
      <w:r>
        <w:t>Wykonawca, który powołuje się na zasoby podmiotu trzeciego, w celu wykazania spełniania przez te podmioty warunków udziału w postepowaniu, o których mowa w Rozdziale 3 pkt 1.1. oraz spełniania, w zakresie w jakim powołuje się na ich zasoby, warunków określonych w Rozdziale 3 pkt 1.2.</w:t>
      </w:r>
      <w:r w:rsidR="001817AC">
        <w:t xml:space="preserve"> </w:t>
      </w:r>
      <w:r w:rsidR="00B342B2">
        <w:t xml:space="preserve">– 1.3. </w:t>
      </w:r>
      <w:r w:rsidR="001817AC" w:rsidRPr="001817AC">
        <w:rPr>
          <w:rFonts w:cs="Arial"/>
        </w:rPr>
        <w:t>zamieszcza informację o tych podmiotach w oświadczeniu o niepodleganiu wykluczeniu oraz spełnianiu warunków udziału w postępowaniu</w:t>
      </w:r>
      <w:r w:rsidR="001817AC">
        <w:rPr>
          <w:rFonts w:cs="Arial"/>
        </w:rPr>
        <w:t xml:space="preserve"> (o którym mowa w pkt 1.1.)</w:t>
      </w:r>
      <w:r w:rsidR="001817AC" w:rsidRPr="001817AC">
        <w:rPr>
          <w:rFonts w:cs="Arial"/>
        </w:rPr>
        <w:t>.</w:t>
      </w:r>
    </w:p>
    <w:p w:rsidR="00001D42" w:rsidRDefault="001817AC" w:rsidP="00841C4E">
      <w:pPr>
        <w:pStyle w:val="Akapitzlist"/>
        <w:numPr>
          <w:ilvl w:val="1"/>
          <w:numId w:val="10"/>
        </w:numPr>
        <w:jc w:val="both"/>
      </w:pPr>
      <w:r w:rsidRPr="001817AC">
        <w:rPr>
          <w:b/>
        </w:rPr>
        <w:t>Zobowiązanie podmiotu trzeciego</w:t>
      </w:r>
      <w:r>
        <w:t>, o którym mowa w Rozdziale 3 pkt 2 – jeżeli Wykonawca polega</w:t>
      </w:r>
      <w:r w:rsidR="007B3F9D">
        <w:t xml:space="preserve"> na zasobach podmiotu trzeciego, składane w formie pisemnej, w oryginale, wg załącznika nr 3 do Ogłoszenia.</w:t>
      </w:r>
    </w:p>
    <w:p w:rsidR="00B342B2" w:rsidRDefault="00001D42" w:rsidP="00841C4E">
      <w:pPr>
        <w:pStyle w:val="Akapitzlist"/>
        <w:numPr>
          <w:ilvl w:val="1"/>
          <w:numId w:val="10"/>
        </w:numPr>
        <w:jc w:val="both"/>
      </w:pPr>
      <w:r w:rsidRPr="00B342B2">
        <w:rPr>
          <w:b/>
        </w:rPr>
        <w:t xml:space="preserve">Wykaz </w:t>
      </w:r>
      <w:r w:rsidR="001817AC" w:rsidRPr="00B342B2">
        <w:rPr>
          <w:b/>
        </w:rPr>
        <w:t>usług</w:t>
      </w:r>
      <w:r w:rsidR="00B342B2">
        <w:t xml:space="preserve"> </w:t>
      </w:r>
      <w:r w:rsidR="001817AC">
        <w:t>wykonanych w okresie 5 lat przed upływem terminu składania ofert, a jeżeli okres działalności jest krótszy – w tym okresie, wraz z podaniem ich przedmiotu</w:t>
      </w:r>
      <w:r w:rsidR="000A49A8">
        <w:t xml:space="preserve">, </w:t>
      </w:r>
      <w:r w:rsidR="001817AC">
        <w:t>dat wykonania</w:t>
      </w:r>
      <w:r w:rsidR="000A49A8">
        <w:t xml:space="preserve"> oraz podmiotów, na rzecz których były wykonywane</w:t>
      </w:r>
      <w:r w:rsidR="00B342B2">
        <w:t>,</w:t>
      </w:r>
      <w:r w:rsidR="006A6D73">
        <w:t xml:space="preserve"> odpowiadających wymaganiom określonym w Rozdziale 3 pkt 1.2.</w:t>
      </w:r>
      <w:r w:rsidR="00B342B2">
        <w:rPr>
          <w:rFonts w:cs="Arial"/>
          <w:bCs/>
        </w:rPr>
        <w:t xml:space="preserve">, </w:t>
      </w:r>
      <w:r w:rsidR="00B342B2" w:rsidRPr="00B342B2">
        <w:rPr>
          <w:rFonts w:cs="Arial"/>
          <w:bCs/>
        </w:rPr>
        <w:t xml:space="preserve"> </w:t>
      </w:r>
      <w:r w:rsidR="00B342B2" w:rsidRPr="00B342B2">
        <w:t>zgodnie</w:t>
      </w:r>
      <w:r w:rsidR="007B3F9D">
        <w:t xml:space="preserve"> z treścią załącznika nr 4</w:t>
      </w:r>
      <w:r w:rsidR="00B342B2">
        <w:t xml:space="preserve">. Wykaz należy złożyć w formie pisemnej (oryginał). Do wykazu należy załączyć dokumenty potwierdzające należyte wykonanie usług, którymi mogą być referencje lub inne dokumenty wystawione </w:t>
      </w:r>
      <w:r w:rsidR="00BC6B5F">
        <w:t xml:space="preserve">(podpisane) </w:t>
      </w:r>
      <w:r w:rsidR="00B342B2">
        <w:t xml:space="preserve">przez podmiot, </w:t>
      </w:r>
      <w:r w:rsidR="002B01B7">
        <w:t xml:space="preserve">na rzecz którego usługi były </w:t>
      </w:r>
      <w:r w:rsidR="002B01B7">
        <w:lastRenderedPageBreak/>
        <w:t>wyk</w:t>
      </w:r>
      <w:r w:rsidR="00B92CE5">
        <w:t xml:space="preserve">onywane, a w przypadku usług w trakcie realizacji – są wykonywane. Jeżeli z uzasadnionej przyczyny o obiektywnym charakterze Wykonawca nie jest w stanie uzyskać ww. dokumentów potwierdzających należyte wykonane usług Wykonawca składa oświadczenie własne w tym przedmiocie. </w:t>
      </w:r>
      <w:r w:rsidR="002B01B7">
        <w:t xml:space="preserve"> Dokumenty składane na poświadczenie należytego wykonania usługi należy złożyć w formie oryginału lub kopii poświad</w:t>
      </w:r>
      <w:r w:rsidR="00942C03">
        <w:t>czonej za zgodność z oryginałem</w:t>
      </w:r>
      <w:r w:rsidR="002B01B7">
        <w:t xml:space="preserve">. </w:t>
      </w:r>
    </w:p>
    <w:p w:rsidR="003608B3" w:rsidRPr="003608B3" w:rsidRDefault="003608B3" w:rsidP="00841C4E">
      <w:pPr>
        <w:pStyle w:val="Akapitzlist"/>
        <w:ind w:left="1104"/>
        <w:jc w:val="both"/>
      </w:pPr>
      <w:r>
        <w:t>W przypadku usług będących w trakcie realizacji (wykonywanych) dokumenty składane na poświadczenie należytego wykonania winny być wystawione nie wcześniej niż 3 miesiące przed upływem terminu składania ofert i winny poświadczać, że usługi są wykonywane należycie.</w:t>
      </w:r>
    </w:p>
    <w:p w:rsidR="002B01B7" w:rsidRDefault="002B01B7" w:rsidP="00841C4E">
      <w:pPr>
        <w:pStyle w:val="Akapitzlist"/>
        <w:numPr>
          <w:ilvl w:val="1"/>
          <w:numId w:val="10"/>
        </w:numPr>
        <w:jc w:val="both"/>
      </w:pPr>
      <w:r>
        <w:t xml:space="preserve"> </w:t>
      </w:r>
      <w:r w:rsidRPr="002B01B7">
        <w:rPr>
          <w:b/>
        </w:rPr>
        <w:t>Wykaz osób</w:t>
      </w:r>
      <w:r>
        <w:t xml:space="preserve"> skierowanych przez Wykonawcę do realizacji zamówienia, odpowiedzialnych za świadczenie usług wraz z informacjami na temat doświadczenia zawodowego tych osób, zg</w:t>
      </w:r>
      <w:r w:rsidR="007B3F9D">
        <w:t>odnie z treścią załącznika nr 5.</w:t>
      </w:r>
      <w:r>
        <w:t xml:space="preserve"> Wykaz osób należy złoż</w:t>
      </w:r>
      <w:r w:rsidR="004E7812">
        <w:t>yć w formie pisemnej (oryginał).</w:t>
      </w:r>
    </w:p>
    <w:p w:rsidR="007B3F9D" w:rsidRPr="007B3F9D" w:rsidRDefault="001817AC" w:rsidP="007B3F9D">
      <w:pPr>
        <w:pStyle w:val="Akapitzlist"/>
        <w:numPr>
          <w:ilvl w:val="1"/>
          <w:numId w:val="10"/>
        </w:numPr>
        <w:jc w:val="both"/>
        <w:rPr>
          <w:b/>
        </w:rPr>
      </w:pPr>
      <w:r w:rsidRPr="007B3F9D">
        <w:rPr>
          <w:b/>
        </w:rPr>
        <w:t xml:space="preserve"> </w:t>
      </w:r>
      <w:r w:rsidR="006A6D73" w:rsidRPr="007B3F9D">
        <w:rPr>
          <w:b/>
        </w:rPr>
        <w:t xml:space="preserve">Oświadczenie wykonawcy, </w:t>
      </w:r>
      <w:r w:rsidR="007B3F9D" w:rsidRPr="007B3F9D">
        <w:rPr>
          <w:b/>
        </w:rPr>
        <w:t>o przynależności do grupy kapitałowej wraz z listą podmiotów należących do tej samej grupy kapitałowej, o której mowa w art. 24 ust. 1 pkt 23 Ustawy</w:t>
      </w:r>
      <w:r w:rsidR="007B3F9D" w:rsidRPr="007B3F9D">
        <w:rPr>
          <w:rFonts w:cs="Arial"/>
        </w:rPr>
        <w:t xml:space="preserve"> </w:t>
      </w:r>
      <w:r w:rsidR="007B3F9D" w:rsidRPr="007B3F9D">
        <w:rPr>
          <w:rFonts w:cs="Arial"/>
          <w:b/>
        </w:rPr>
        <w:t xml:space="preserve">albo </w:t>
      </w:r>
      <w:r w:rsidR="007B3F9D">
        <w:rPr>
          <w:rFonts w:cs="Arial"/>
          <w:b/>
        </w:rPr>
        <w:t xml:space="preserve">oświadczenie, </w:t>
      </w:r>
      <w:r w:rsidR="007B3F9D" w:rsidRPr="007B3F9D">
        <w:rPr>
          <w:rFonts w:cs="Arial"/>
          <w:b/>
        </w:rPr>
        <w:t>że Wykonawca nie należy do grupy kapitałowej</w:t>
      </w:r>
      <w:r w:rsidR="007B3F9D">
        <w:rPr>
          <w:rFonts w:cs="Arial"/>
        </w:rPr>
        <w:t>, złożone w formie pisemnej w oryginale, zgodnie z treścią załącznika nr 6 do Ogłoszenia. W przypadku Wykonawców składających ofertę wspólną przedmiotowe oświadczenie składa każdy z tych Wykonawców.</w:t>
      </w:r>
    </w:p>
    <w:p w:rsidR="00447F69" w:rsidRPr="007B3F9D" w:rsidRDefault="00F13863" w:rsidP="007F351F">
      <w:pPr>
        <w:pStyle w:val="Akapitzlist"/>
        <w:numPr>
          <w:ilvl w:val="0"/>
          <w:numId w:val="10"/>
        </w:numPr>
        <w:jc w:val="both"/>
      </w:pPr>
      <w:r w:rsidRPr="007B3F9D">
        <w:rPr>
          <w:b/>
        </w:rPr>
        <w:t>Pełnomocnictwo</w:t>
      </w:r>
      <w:r w:rsidR="00727102" w:rsidRPr="007B3F9D">
        <w:t xml:space="preserve"> – </w:t>
      </w:r>
      <w:r w:rsidR="007B3F9D" w:rsidRPr="007B3F9D">
        <w:t xml:space="preserve"> zgodnie z Rozdziałem 5 pkt 3.1., 9</w:t>
      </w:r>
      <w:r w:rsidR="007B3F9D">
        <w:t xml:space="preserve"> i 12,</w:t>
      </w:r>
      <w:r w:rsidR="00727102" w:rsidRPr="007B3F9D">
        <w:t xml:space="preserve"> złożone w formie pisemnej </w:t>
      </w:r>
      <w:r w:rsidR="007B3F9D" w:rsidRPr="007B3F9D">
        <w:t xml:space="preserve">w oryginale </w:t>
      </w:r>
      <w:r w:rsidR="00727102" w:rsidRPr="007B3F9D">
        <w:t>lub kopii poświadczonej przez notariusza.</w:t>
      </w:r>
    </w:p>
    <w:p w:rsidR="00634B14" w:rsidRPr="00675765" w:rsidRDefault="00634B14" w:rsidP="00634B14">
      <w:pPr>
        <w:rPr>
          <w:b/>
        </w:rPr>
      </w:pPr>
      <w:r w:rsidRPr="00675765">
        <w:rPr>
          <w:b/>
        </w:rPr>
        <w:t>Rozdział 5. Instrukcja sporządzenia oferty, Informacje dotyczące postępowania</w:t>
      </w:r>
    </w:p>
    <w:p w:rsidR="00B6215E" w:rsidRDefault="00B6215E" w:rsidP="00D82A2D">
      <w:pPr>
        <w:pStyle w:val="Akapitzlist"/>
        <w:numPr>
          <w:ilvl w:val="0"/>
          <w:numId w:val="23"/>
        </w:numPr>
        <w:jc w:val="both"/>
      </w:pPr>
      <w:r>
        <w:t>Postępowanie prowadzone jest w języku polskim.</w:t>
      </w:r>
    </w:p>
    <w:p w:rsidR="007B3F9D" w:rsidRDefault="00B6215E" w:rsidP="007B3F9D">
      <w:pPr>
        <w:pStyle w:val="Akapitzlist"/>
        <w:numPr>
          <w:ilvl w:val="0"/>
          <w:numId w:val="23"/>
        </w:numPr>
        <w:jc w:val="both"/>
      </w:pPr>
      <w:r>
        <w:t>Wykonawca może złożyć jedną ofertę. Złożenie więcej niż jednej oferty spowoduje odrzucenie wszystkich złożonych ofert przez Wykonawcę.</w:t>
      </w:r>
    </w:p>
    <w:p w:rsidR="007B3F9D" w:rsidRDefault="007B3F9D" w:rsidP="007B3F9D">
      <w:pPr>
        <w:pStyle w:val="Akapitzlist"/>
        <w:numPr>
          <w:ilvl w:val="0"/>
          <w:numId w:val="23"/>
        </w:numPr>
        <w:jc w:val="both"/>
      </w:pPr>
      <w:r>
        <w:t>Wykonawcy mogą wspólnie ubiegać się o udzielenie zamówienia (złożyć ofertę wspólną), zgodnie z  poniższymi wymaganiami:</w:t>
      </w:r>
    </w:p>
    <w:p w:rsidR="007B3F9D" w:rsidRDefault="007B3F9D" w:rsidP="007B3F9D">
      <w:pPr>
        <w:pStyle w:val="Akapitzlist"/>
        <w:numPr>
          <w:ilvl w:val="1"/>
          <w:numId w:val="23"/>
        </w:numPr>
        <w:jc w:val="both"/>
      </w:pPr>
      <w:r w:rsidRPr="007B3F9D">
        <w:t>Wykonawcy wspólnie ubiegający się o zamówienie ustanawiają pełnomocnika do reprezentowania ich w postępowaniu o udzielenie zamówienia publicznego albo do reprezentowania ich w postępowaniu i zawarcia umowy w sprawie zamówienia publicznego.</w:t>
      </w:r>
      <w:r w:rsidRPr="007B3F9D">
        <w:rPr>
          <w:b/>
          <w:i/>
        </w:rPr>
        <w:t xml:space="preserve"> </w:t>
      </w:r>
      <w:r w:rsidRPr="007B3F9D">
        <w:t>Pełnomocnictwo winno być podpisane przez upoważnionych przedstawicieli każdego z Wykonawców składających ofertę wspólną i załączone do oferty w oryginale lub kopii poświadczonej przez notariusza. W przypadku spółki cywilnej umocowanie jednego ze wspólników do reprezentowania pozostałych wynikać może z umowy spółki. Wówczas Wykonawca  zamiast pełnomocnictwa może złożyć umowę spółki cywilnej (kopię poświadczoną za zgodność z oryginałem przez Wykonawcę), której treść potwierdza umocowanie do złożenia oferty.</w:t>
      </w:r>
    </w:p>
    <w:p w:rsidR="007B3F9D" w:rsidRPr="007B3F9D" w:rsidRDefault="007B3F9D" w:rsidP="007B3F9D">
      <w:pPr>
        <w:pStyle w:val="Akapitzlist"/>
        <w:numPr>
          <w:ilvl w:val="1"/>
          <w:numId w:val="23"/>
        </w:numPr>
        <w:jc w:val="both"/>
      </w:pPr>
      <w:r w:rsidRPr="007B3F9D">
        <w:lastRenderedPageBreak/>
        <w:t>Jeżeli oferta złożona przez Wykonawców wspólnie ubiegających się o udzielenie zamówienia zostanie wybrana, Zamawiający przed zawarciem umowy w sprawie zamówienia publicznego może żądać umowy regulującej współpracę tych Wykonawców. Umowa regulująca współpracę podmiotów występujących wspólnie winna być zawarta na okres nie krótszy niż okres wykonania zamówienia objętego niniejszym przetargiem oraz gwarancji i rękojmi.</w:t>
      </w:r>
    </w:p>
    <w:p w:rsidR="007B3F9D" w:rsidRPr="007B3F9D" w:rsidRDefault="007B3F9D" w:rsidP="007B3F9D">
      <w:pPr>
        <w:pStyle w:val="Akapitzlist"/>
        <w:numPr>
          <w:ilvl w:val="1"/>
          <w:numId w:val="23"/>
        </w:numPr>
        <w:jc w:val="both"/>
      </w:pPr>
      <w:r w:rsidRPr="007B3F9D">
        <w:t>Wykonawcy wspólnie ubiegający się o udzielenie zamówienia publicznego ponoszą solidarną odpowiedzialność za wykonanie zamówienia.</w:t>
      </w:r>
    </w:p>
    <w:p w:rsidR="00B6215E" w:rsidRDefault="00B6215E" w:rsidP="00D82A2D">
      <w:pPr>
        <w:pStyle w:val="Akapitzlist"/>
        <w:numPr>
          <w:ilvl w:val="0"/>
          <w:numId w:val="23"/>
        </w:numPr>
        <w:jc w:val="both"/>
      </w:pPr>
      <w:r>
        <w:t>Zamawiający nie dopuszcza możliwości składania ofert częściowych.</w:t>
      </w:r>
    </w:p>
    <w:p w:rsidR="00B6215E" w:rsidRDefault="00B6215E" w:rsidP="00D82A2D">
      <w:pPr>
        <w:pStyle w:val="Akapitzlist"/>
        <w:numPr>
          <w:ilvl w:val="0"/>
          <w:numId w:val="23"/>
        </w:numPr>
        <w:jc w:val="both"/>
      </w:pPr>
      <w:r>
        <w:t>Zamawiający nie dopuszcza możliwości składania ofert wariantowych.</w:t>
      </w:r>
    </w:p>
    <w:p w:rsidR="00B6215E" w:rsidRDefault="00B6215E" w:rsidP="00D82A2D">
      <w:pPr>
        <w:pStyle w:val="Akapitzlist"/>
        <w:numPr>
          <w:ilvl w:val="0"/>
          <w:numId w:val="23"/>
        </w:numPr>
        <w:jc w:val="both"/>
      </w:pPr>
      <w:r>
        <w:t>Oferta winna być sporządzona w formie pisemnej pod rygorem nieważności.</w:t>
      </w:r>
    </w:p>
    <w:p w:rsidR="00B6215E" w:rsidRDefault="00B6215E" w:rsidP="00D82A2D">
      <w:pPr>
        <w:pStyle w:val="Akapitzlist"/>
        <w:numPr>
          <w:ilvl w:val="0"/>
          <w:numId w:val="23"/>
        </w:numPr>
        <w:jc w:val="both"/>
      </w:pPr>
      <w:r>
        <w:t>Treść oferty musi być zgodna z treścią Ogłoszenia o zamówieniu.</w:t>
      </w:r>
    </w:p>
    <w:p w:rsidR="00B6215E" w:rsidRDefault="00B6215E" w:rsidP="00D82A2D">
      <w:pPr>
        <w:pStyle w:val="Akapitzlist"/>
        <w:numPr>
          <w:ilvl w:val="0"/>
          <w:numId w:val="23"/>
        </w:numPr>
        <w:jc w:val="both"/>
      </w:pPr>
      <w:r>
        <w:t>Oferta musi być podpisana przez Wykonawcę, tj. przez osobę (-y)</w:t>
      </w:r>
      <w:r w:rsidR="00CD244C">
        <w:t xml:space="preserve"> reprezentującą Wykonawcę</w:t>
      </w:r>
      <w:r>
        <w:t>, zgodnie z zasadami reprezentacji określonymi we właściwym rejestrze</w:t>
      </w:r>
      <w:r w:rsidR="0022610A">
        <w:t>, przepisach prawa</w:t>
      </w:r>
      <w:r>
        <w:t xml:space="preserve"> </w:t>
      </w:r>
      <w:r w:rsidR="00CD244C">
        <w:t>lub osobę upoważnioną (pełnomocnika).</w:t>
      </w:r>
    </w:p>
    <w:p w:rsidR="00D82A2D" w:rsidRPr="006F6D72" w:rsidRDefault="00CD244C" w:rsidP="00D82A2D">
      <w:pPr>
        <w:pStyle w:val="Akapitzlist"/>
        <w:numPr>
          <w:ilvl w:val="0"/>
          <w:numId w:val="23"/>
        </w:numPr>
        <w:jc w:val="both"/>
        <w:rPr>
          <w:rFonts w:cs="Tahoma"/>
          <w:bCs/>
          <w:u w:val="single"/>
        </w:rPr>
      </w:pPr>
      <w:r w:rsidRPr="006F6D72">
        <w:t xml:space="preserve">Jeśli osoba reprezentująca Wykonawcę lub Wykonawców składających ofertę wspólną działa na podstawie pełnomocnictwa, </w:t>
      </w:r>
      <w:r w:rsidRPr="006F6D72">
        <w:rPr>
          <w:u w:val="single"/>
        </w:rPr>
        <w:t>pisemne pełnomocnictwo</w:t>
      </w:r>
      <w:r w:rsidR="00675765">
        <w:rPr>
          <w:u w:val="single"/>
        </w:rPr>
        <w:t xml:space="preserve"> -</w:t>
      </w:r>
      <w:r w:rsidRPr="006F6D72">
        <w:rPr>
          <w:u w:val="single"/>
        </w:rPr>
        <w:t xml:space="preserve"> w formie oryginału  lub kopii poświadczonej przez notariusza musi zostać dołączone do oferty.</w:t>
      </w:r>
    </w:p>
    <w:p w:rsidR="00C333B4" w:rsidRDefault="00C333B4" w:rsidP="007B3F9D">
      <w:pPr>
        <w:pStyle w:val="Akapitzlist"/>
        <w:numPr>
          <w:ilvl w:val="0"/>
          <w:numId w:val="23"/>
        </w:numPr>
        <w:jc w:val="both"/>
        <w:rPr>
          <w:rFonts w:cs="Tahoma"/>
          <w:bCs/>
        </w:rPr>
      </w:pPr>
      <w:r w:rsidRPr="00D82A2D">
        <w:rPr>
          <w:rFonts w:cs="Tahoma"/>
          <w:bCs/>
        </w:rPr>
        <w:t xml:space="preserve">Podpisy </w:t>
      </w:r>
      <w:r w:rsidR="00D82A2D">
        <w:rPr>
          <w:rFonts w:cs="Tahoma"/>
          <w:bCs/>
        </w:rPr>
        <w:t xml:space="preserve">na ofercie, oświadczeniach, dokumentach </w:t>
      </w:r>
      <w:r w:rsidRPr="00D82A2D">
        <w:rPr>
          <w:rFonts w:cs="Tahoma"/>
          <w:bCs/>
        </w:rPr>
        <w:t>winny być złożone własnoręcznie prz</w:t>
      </w:r>
      <w:r w:rsidR="00675765">
        <w:rPr>
          <w:rFonts w:cs="Tahoma"/>
          <w:bCs/>
        </w:rPr>
        <w:t>ez osobę (</w:t>
      </w:r>
      <w:r w:rsidRPr="00D82A2D">
        <w:rPr>
          <w:rFonts w:cs="Tahoma"/>
          <w:bCs/>
        </w:rPr>
        <w:t>osoby</w:t>
      </w:r>
      <w:r w:rsidR="00675765">
        <w:rPr>
          <w:rFonts w:cs="Tahoma"/>
          <w:bCs/>
        </w:rPr>
        <w:t>)</w:t>
      </w:r>
      <w:r w:rsidRPr="00D82A2D">
        <w:rPr>
          <w:rFonts w:cs="Tahoma"/>
          <w:bCs/>
        </w:rPr>
        <w:t xml:space="preserve"> upoważn</w:t>
      </w:r>
      <w:r w:rsidR="006F6D72">
        <w:rPr>
          <w:rFonts w:cs="Tahoma"/>
          <w:bCs/>
        </w:rPr>
        <w:t>ione</w:t>
      </w:r>
      <w:r w:rsidR="00675765">
        <w:rPr>
          <w:rFonts w:cs="Tahoma"/>
          <w:bCs/>
        </w:rPr>
        <w:t xml:space="preserve"> do reprezentacji</w:t>
      </w:r>
      <w:r w:rsidR="00D82A2D">
        <w:rPr>
          <w:rFonts w:cs="Tahoma"/>
          <w:bCs/>
        </w:rPr>
        <w:t xml:space="preserve">, w sposób umożliwiający zidentyfikowanie osoby składającej podpis. Zaleca się </w:t>
      </w:r>
      <w:r w:rsidR="00D82A2D" w:rsidRPr="00D82A2D">
        <w:rPr>
          <w:rFonts w:cs="Tahoma"/>
          <w:bCs/>
        </w:rPr>
        <w:t>czytelnie podać imię i nazwisko</w:t>
      </w:r>
      <w:r w:rsidR="00D82A2D">
        <w:rPr>
          <w:rFonts w:cs="Tahoma"/>
          <w:bCs/>
        </w:rPr>
        <w:t xml:space="preserve"> lub opatrzenie podpisu pieczątką </w:t>
      </w:r>
      <w:r w:rsidRPr="00D82A2D">
        <w:rPr>
          <w:rFonts w:cs="Tahoma"/>
          <w:bCs/>
        </w:rPr>
        <w:t xml:space="preserve"> </w:t>
      </w:r>
      <w:r w:rsidR="00D82A2D">
        <w:rPr>
          <w:rFonts w:cs="Tahoma"/>
          <w:bCs/>
        </w:rPr>
        <w:t xml:space="preserve">z imieniem i nazwiskiem. </w:t>
      </w:r>
    </w:p>
    <w:p w:rsidR="00942C03" w:rsidRDefault="00942C03" w:rsidP="007B3F9D">
      <w:pPr>
        <w:pStyle w:val="Akapitzlist"/>
        <w:numPr>
          <w:ilvl w:val="0"/>
          <w:numId w:val="23"/>
        </w:numPr>
        <w:jc w:val="both"/>
        <w:rPr>
          <w:rFonts w:cs="Tahoma"/>
          <w:bCs/>
        </w:rPr>
      </w:pPr>
      <w:r>
        <w:rPr>
          <w:rFonts w:cs="Tahoma"/>
          <w:bCs/>
        </w:rPr>
        <w:t>Ilekroć mowa w niniejszym Ogłoszeniu o poświadczeniu kopii dokumentu za zgodność z oryginałem, poświadczenia dokonują:</w:t>
      </w:r>
    </w:p>
    <w:p w:rsidR="00942C03" w:rsidRDefault="00942C03" w:rsidP="007B3F9D">
      <w:pPr>
        <w:pStyle w:val="Akapitzlist"/>
        <w:numPr>
          <w:ilvl w:val="0"/>
          <w:numId w:val="25"/>
        </w:numPr>
        <w:jc w:val="both"/>
        <w:rPr>
          <w:rFonts w:cs="Tahoma"/>
          <w:bCs/>
        </w:rPr>
      </w:pPr>
      <w:r>
        <w:rPr>
          <w:rFonts w:cs="Tahoma"/>
          <w:bCs/>
        </w:rPr>
        <w:t>w przypadku dokumentu dotyczącego Wykonawcy – Wykonawca;</w:t>
      </w:r>
    </w:p>
    <w:p w:rsidR="00942C03" w:rsidRDefault="00942C03" w:rsidP="007B3F9D">
      <w:pPr>
        <w:pStyle w:val="Akapitzlist"/>
        <w:numPr>
          <w:ilvl w:val="0"/>
          <w:numId w:val="25"/>
        </w:numPr>
        <w:jc w:val="both"/>
        <w:rPr>
          <w:rFonts w:cs="Tahoma"/>
          <w:bCs/>
        </w:rPr>
      </w:pPr>
      <w:r>
        <w:rPr>
          <w:rFonts w:cs="Tahoma"/>
          <w:bCs/>
        </w:rPr>
        <w:t>w przypadku Wykonawców wspólnie ubiegających się o zamówienie – ci Wykonawcy, każdy w zakresie dokumentów, które jego dotyczą;</w:t>
      </w:r>
    </w:p>
    <w:p w:rsidR="006F6D72" w:rsidRDefault="00942C03" w:rsidP="007B3F9D">
      <w:pPr>
        <w:pStyle w:val="Akapitzlist"/>
        <w:numPr>
          <w:ilvl w:val="0"/>
          <w:numId w:val="25"/>
        </w:numPr>
        <w:jc w:val="both"/>
        <w:rPr>
          <w:rFonts w:cs="Tahoma"/>
          <w:bCs/>
        </w:rPr>
      </w:pPr>
      <w:r>
        <w:rPr>
          <w:rFonts w:cs="Tahoma"/>
          <w:bCs/>
        </w:rPr>
        <w:t>w przypadku podmiotów trzecich, na zasobach których polega Wykonawca – te podmioty, każdy w zakresie dokumentów, które ich dotyczą.</w:t>
      </w:r>
    </w:p>
    <w:p w:rsidR="006F6D72" w:rsidRPr="006F6D72" w:rsidRDefault="006F6D72" w:rsidP="007B3F9D">
      <w:pPr>
        <w:pStyle w:val="Akapitzlist"/>
        <w:numPr>
          <w:ilvl w:val="0"/>
          <w:numId w:val="23"/>
        </w:numPr>
        <w:jc w:val="both"/>
        <w:rPr>
          <w:rFonts w:cs="Tahoma"/>
          <w:bCs/>
        </w:rPr>
      </w:pPr>
      <w:r>
        <w:rPr>
          <w:rFonts w:cs="Tahoma"/>
          <w:bCs/>
        </w:rPr>
        <w:t>Ilekroć mowa w niniejszym Ogłoszeniu o wymogu podpisania dokumentów, oświadczeń lub potwierdzeniu za zgodność z oryginałem, należy rozumieć, że podpisy powinny być złożone przez osobę (osoby) uprawnioną do reprezentowania odpowiednio wykonawcy / podmiotu, za zasobach którego polega wykonawca, zgodnie z zasadami reprezentacji wskazanymi we właściwym rejestrze, przepisach prawa  lub osobę (osoby) upoważnioną do reprezentowania odpowiednio wykonawcy / podmiotu, za zasobach którego polega wykonawca na podstawie pełnomocnictwa.</w:t>
      </w:r>
      <w:r w:rsidR="00675765">
        <w:rPr>
          <w:rFonts w:cs="Tahoma"/>
          <w:bCs/>
        </w:rPr>
        <w:t xml:space="preserve"> Pełnomocnictwo pisemne - w formie oryginału lub kopii poświadczonej przez notariusza należy dołączyć do oferty.</w:t>
      </w:r>
    </w:p>
    <w:p w:rsidR="00D82A2D" w:rsidRPr="00E1622B" w:rsidRDefault="00D82A2D" w:rsidP="007B3F9D">
      <w:pPr>
        <w:pStyle w:val="Akapitzlist"/>
        <w:numPr>
          <w:ilvl w:val="0"/>
          <w:numId w:val="23"/>
        </w:numPr>
        <w:jc w:val="both"/>
        <w:rPr>
          <w:rFonts w:cs="Tahoma"/>
          <w:bCs/>
        </w:rPr>
      </w:pPr>
      <w:r>
        <w:rPr>
          <w:rFonts w:cs="Tahoma"/>
          <w:bCs/>
        </w:rPr>
        <w:t>W przypadku poświadczania kopii dokumentów za zgodność z oryginałem, na kopiach tych winny znaleźć się podpisy</w:t>
      </w:r>
      <w:r w:rsidR="00942C03">
        <w:rPr>
          <w:rFonts w:cs="Tahoma"/>
          <w:bCs/>
        </w:rPr>
        <w:t xml:space="preserve">, według zasad opisanych w </w:t>
      </w:r>
      <w:r w:rsidR="00942C03" w:rsidRPr="007B3F9D">
        <w:rPr>
          <w:rFonts w:cs="Tahoma"/>
          <w:bCs/>
        </w:rPr>
        <w:t xml:space="preserve">pkt </w:t>
      </w:r>
      <w:r w:rsidR="007B3F9D" w:rsidRPr="007B3F9D">
        <w:rPr>
          <w:rFonts w:cs="Tahoma"/>
          <w:bCs/>
        </w:rPr>
        <w:t>11</w:t>
      </w:r>
      <w:r w:rsidR="00675765" w:rsidRPr="007B3F9D">
        <w:rPr>
          <w:rFonts w:cs="Tahoma"/>
          <w:bCs/>
        </w:rPr>
        <w:t>-1</w:t>
      </w:r>
      <w:r w:rsidR="007B3F9D" w:rsidRPr="007B3F9D">
        <w:rPr>
          <w:rFonts w:cs="Tahoma"/>
          <w:bCs/>
        </w:rPr>
        <w:t>2</w:t>
      </w:r>
      <w:r>
        <w:rPr>
          <w:rFonts w:cs="Tahoma"/>
          <w:bCs/>
        </w:rPr>
        <w:t xml:space="preserve"> oraz klauzula „za zgodność z oryginałem”. W przypadku </w:t>
      </w:r>
      <w:r w:rsidRPr="00675765">
        <w:rPr>
          <w:rFonts w:cs="Tahoma"/>
          <w:bCs/>
        </w:rPr>
        <w:t xml:space="preserve">poświadczania </w:t>
      </w:r>
      <w:r w:rsidR="00CF6625" w:rsidRPr="00675765">
        <w:rPr>
          <w:rFonts w:cs="Tahoma"/>
          <w:bCs/>
        </w:rPr>
        <w:t>dokumentów wielostronicowych</w:t>
      </w:r>
      <w:r w:rsidR="00CF6625">
        <w:rPr>
          <w:rFonts w:cs="Tahoma"/>
          <w:bCs/>
        </w:rPr>
        <w:t xml:space="preserve"> </w:t>
      </w:r>
      <w:r w:rsidR="0022610A">
        <w:rPr>
          <w:rFonts w:cs="Tahoma"/>
          <w:bCs/>
        </w:rPr>
        <w:t xml:space="preserve">należy </w:t>
      </w:r>
      <w:r w:rsidR="0022610A">
        <w:rPr>
          <w:rFonts w:cs="Tahoma"/>
          <w:bCs/>
        </w:rPr>
        <w:lastRenderedPageBreak/>
        <w:t xml:space="preserve">poświadczyć za zgodność z oryginałem każdą stronę dokumentu lub poświadczenie może </w:t>
      </w:r>
      <w:r w:rsidR="0022610A" w:rsidRPr="00E1622B">
        <w:rPr>
          <w:rFonts w:cs="Tahoma"/>
          <w:bCs/>
        </w:rPr>
        <w:t>znaleźć się na jednej ze stron wraz z informacją o liczbie, numerach poświadczanych stron.</w:t>
      </w:r>
    </w:p>
    <w:p w:rsidR="00C333B4" w:rsidRPr="00E1622B" w:rsidRDefault="00D82A2D" w:rsidP="007B3F9D">
      <w:pPr>
        <w:pStyle w:val="Akapitzlist"/>
        <w:numPr>
          <w:ilvl w:val="0"/>
          <w:numId w:val="23"/>
        </w:numPr>
        <w:jc w:val="both"/>
      </w:pPr>
      <w:r w:rsidRPr="00E1622B">
        <w:t>Oferta wraz załącznikami winna być sporządzona w języku polskim. Każdy dokument składający się na ofertę lub złożony wraz z ofertą sporządzony w języku innym niż język polski  musi być złożony z tłumaczeniem na język polski.</w:t>
      </w:r>
    </w:p>
    <w:p w:rsidR="00D82A2D" w:rsidRPr="00E1622B" w:rsidRDefault="00D82A2D" w:rsidP="00554797">
      <w:pPr>
        <w:pStyle w:val="Akapitzlist"/>
        <w:numPr>
          <w:ilvl w:val="0"/>
          <w:numId w:val="23"/>
        </w:numPr>
        <w:jc w:val="both"/>
      </w:pPr>
      <w:r w:rsidRPr="00E1622B">
        <w:t>Wykonawca ponosi wszelkie koszty przygotowania i złożenia oferty.</w:t>
      </w:r>
    </w:p>
    <w:p w:rsidR="00E1622B" w:rsidRPr="00E1622B" w:rsidRDefault="0022610A" w:rsidP="00554797">
      <w:pPr>
        <w:pStyle w:val="Akapitzlist"/>
        <w:numPr>
          <w:ilvl w:val="0"/>
          <w:numId w:val="23"/>
        </w:numPr>
        <w:jc w:val="both"/>
      </w:pPr>
      <w:r w:rsidRPr="00E1622B">
        <w:t>Zaleca się by wszelkie dopiski, skreślenia w treści oferty był</w:t>
      </w:r>
      <w:r w:rsidR="00675765" w:rsidRPr="00E1622B">
        <w:t xml:space="preserve"> parafowane</w:t>
      </w:r>
      <w:r w:rsidRPr="00E1622B">
        <w:t xml:space="preserve"> przez Wy</w:t>
      </w:r>
      <w:r w:rsidR="00675765" w:rsidRPr="00E1622B">
        <w:t>k</w:t>
      </w:r>
      <w:r w:rsidRPr="00E1622B">
        <w:t>onawcę.</w:t>
      </w:r>
    </w:p>
    <w:p w:rsidR="00E1622B" w:rsidRPr="00E1622B" w:rsidRDefault="00E1622B" w:rsidP="00554797">
      <w:pPr>
        <w:pStyle w:val="Akapitzlist"/>
        <w:numPr>
          <w:ilvl w:val="0"/>
          <w:numId w:val="23"/>
        </w:numPr>
        <w:jc w:val="both"/>
      </w:pPr>
      <w:r w:rsidRPr="00E1622B">
        <w:rPr>
          <w:rFonts w:cs="Tahoma"/>
        </w:rPr>
        <w:t>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w:t>
      </w:r>
      <w:r>
        <w:rPr>
          <w:rFonts w:cs="Tahoma"/>
        </w:rPr>
        <w:t>,</w:t>
      </w:r>
      <w:r w:rsidRPr="00E1622B">
        <w:rPr>
          <w:rFonts w:cs="Tahoma"/>
        </w:rPr>
        <w:t xml:space="preserve"> że nie mogą one być udostępniane oraz wykazał, że zastrzeżone informacje stanowią tajemnicę przedsiębiorstwa.</w:t>
      </w:r>
      <w:r>
        <w:rPr>
          <w:rFonts w:cs="Tahoma"/>
        </w:rPr>
        <w:t xml:space="preserve"> W szczególności Wykonawca musi wykazać, w jaki sposób zostały spełnione przesłanki, o których mowa w art. 11 ust. 2 ustawy o zwalczaniu nieuczciwej konkurencji. </w:t>
      </w:r>
      <w:r w:rsidRPr="00E1622B">
        <w:rPr>
          <w:rFonts w:cs="Tahoma"/>
        </w:rPr>
        <w:t xml:space="preserve">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E1622B" w:rsidRPr="00E1622B" w:rsidRDefault="00E1622B" w:rsidP="00554797">
      <w:pPr>
        <w:pStyle w:val="Akapitzlist"/>
        <w:numPr>
          <w:ilvl w:val="0"/>
          <w:numId w:val="23"/>
        </w:numPr>
        <w:jc w:val="both"/>
      </w:pPr>
      <w:r w:rsidRPr="00E1622B">
        <w:rPr>
          <w:rFonts w:cs="Tahoma"/>
        </w:rPr>
        <w:t xml:space="preserve">Zastrzeżenie informacji, które nie stanowią tajemnicy przedsiębiorstwa w rozumieniu ustawy o zwalczaniu nieuczciwej konkurencji będzie traktowane jako bezskuteczne i skutkować będzie ich odtajnieniem. </w:t>
      </w:r>
      <w:r>
        <w:rPr>
          <w:rFonts w:cs="Tahoma"/>
        </w:rPr>
        <w:t xml:space="preserve">Wykonawca nie może zastrzec informacji, o których mowa w art. 86 ust. </w:t>
      </w:r>
      <w:r w:rsidR="00B67505">
        <w:rPr>
          <w:rFonts w:cs="Tahoma"/>
        </w:rPr>
        <w:t>4</w:t>
      </w:r>
      <w:r>
        <w:rPr>
          <w:rFonts w:cs="Tahoma"/>
        </w:rPr>
        <w:t xml:space="preserve"> ustawy.</w:t>
      </w:r>
    </w:p>
    <w:p w:rsidR="00E1622B" w:rsidRPr="00763207" w:rsidRDefault="00E1622B" w:rsidP="00554797">
      <w:pPr>
        <w:pStyle w:val="Akapitzlist"/>
        <w:numPr>
          <w:ilvl w:val="0"/>
          <w:numId w:val="23"/>
        </w:numPr>
        <w:jc w:val="both"/>
        <w:rPr>
          <w:rFonts w:ascii="Calibri" w:hAnsi="Calibri"/>
        </w:rPr>
      </w:pPr>
      <w:r w:rsidRPr="00763207">
        <w:rPr>
          <w:rFonts w:ascii="Calibri" w:hAnsi="Calibri" w:cs="Tahoma"/>
        </w:rPr>
        <w:t>Na ofertę składają się:</w:t>
      </w:r>
    </w:p>
    <w:p w:rsidR="00E1622B" w:rsidRPr="00763207" w:rsidRDefault="00763207" w:rsidP="00554797">
      <w:pPr>
        <w:pStyle w:val="Akapitzlist"/>
        <w:numPr>
          <w:ilvl w:val="0"/>
          <w:numId w:val="26"/>
        </w:numPr>
        <w:jc w:val="both"/>
        <w:rPr>
          <w:rFonts w:ascii="Calibri" w:hAnsi="Calibri"/>
        </w:rPr>
      </w:pPr>
      <w:r w:rsidRPr="00763207">
        <w:rPr>
          <w:rFonts w:ascii="Calibri" w:hAnsi="Calibri"/>
        </w:rPr>
        <w:t>Formularz oferty sporządzony i wypełniony według wzo</w:t>
      </w:r>
      <w:r w:rsidR="00D45349">
        <w:rPr>
          <w:rFonts w:ascii="Calibri" w:hAnsi="Calibri"/>
        </w:rPr>
        <w:t>ru stanowiącego załącznik nr 1 d</w:t>
      </w:r>
      <w:r w:rsidRPr="00763207">
        <w:rPr>
          <w:rFonts w:ascii="Calibri" w:hAnsi="Calibri"/>
        </w:rPr>
        <w:t>o Ogłoszenia;</w:t>
      </w:r>
    </w:p>
    <w:p w:rsidR="00763207" w:rsidRPr="00763207" w:rsidRDefault="00763207" w:rsidP="00554797">
      <w:pPr>
        <w:pStyle w:val="Akapitzlist"/>
        <w:numPr>
          <w:ilvl w:val="0"/>
          <w:numId w:val="26"/>
        </w:numPr>
        <w:jc w:val="both"/>
        <w:rPr>
          <w:rFonts w:ascii="Calibri" w:hAnsi="Calibri"/>
        </w:rPr>
      </w:pPr>
      <w:r w:rsidRPr="00763207">
        <w:rPr>
          <w:rFonts w:ascii="Calibri" w:hAnsi="Calibri"/>
        </w:rPr>
        <w:t>Dokumenty i oświadczenia, o których mowa w Rozdziale 4 pkt 1-2.</w:t>
      </w:r>
    </w:p>
    <w:p w:rsidR="00554797" w:rsidRDefault="00763207" w:rsidP="00554797">
      <w:pPr>
        <w:pStyle w:val="Akapitzlist"/>
        <w:numPr>
          <w:ilvl w:val="0"/>
          <w:numId w:val="23"/>
        </w:numPr>
        <w:jc w:val="both"/>
        <w:rPr>
          <w:rFonts w:ascii="Calibri" w:hAnsi="Calibri" w:cs="Tahoma"/>
          <w:bCs/>
        </w:rPr>
      </w:pPr>
      <w:r w:rsidRPr="00554797">
        <w:rPr>
          <w:rFonts w:ascii="Calibri" w:hAnsi="Calibri" w:cs="Tahoma"/>
          <w:bCs/>
        </w:rPr>
        <w:t xml:space="preserve">Ofertę należy umieścić w zamkniętym kopercie/opakowaniu i zabezpieczyć w sposób uniemożliwiający zapoznanie się z </w:t>
      </w:r>
      <w:r w:rsidR="001C2095">
        <w:rPr>
          <w:rFonts w:ascii="Calibri" w:hAnsi="Calibri" w:cs="Tahoma"/>
          <w:bCs/>
        </w:rPr>
        <w:t>j</w:t>
      </w:r>
      <w:r w:rsidRPr="00554797">
        <w:rPr>
          <w:rFonts w:ascii="Calibri" w:hAnsi="Calibri" w:cs="Tahoma"/>
          <w:bCs/>
        </w:rPr>
        <w:t>ej zawartością bez naruszenia zabezpieczeń przed upływem terminu składania ofert.</w:t>
      </w:r>
    </w:p>
    <w:p w:rsidR="00554797" w:rsidRDefault="00554797" w:rsidP="00554797">
      <w:pPr>
        <w:pStyle w:val="Akapitzlist"/>
        <w:numPr>
          <w:ilvl w:val="0"/>
          <w:numId w:val="23"/>
        </w:numPr>
        <w:jc w:val="both"/>
        <w:rPr>
          <w:rFonts w:ascii="Calibri" w:hAnsi="Calibri" w:cs="Tahoma"/>
          <w:bCs/>
        </w:rPr>
      </w:pPr>
      <w:r w:rsidRPr="00554797">
        <w:rPr>
          <w:rFonts w:ascii="Calibri" w:hAnsi="Calibri" w:cs="Tahoma"/>
          <w:bCs/>
        </w:rPr>
        <w:t>Kopertę</w:t>
      </w:r>
      <w:r w:rsidR="00763207" w:rsidRPr="00554797">
        <w:rPr>
          <w:rFonts w:ascii="Calibri" w:hAnsi="Calibri" w:cs="Tahoma"/>
          <w:bCs/>
        </w:rPr>
        <w:t>/opakowani</w:t>
      </w:r>
      <w:r w:rsidRPr="00554797">
        <w:rPr>
          <w:rFonts w:ascii="Calibri" w:hAnsi="Calibri" w:cs="Tahoma"/>
          <w:bCs/>
        </w:rPr>
        <w:t>e z ofertą</w:t>
      </w:r>
      <w:r w:rsidR="00763207" w:rsidRPr="00554797">
        <w:rPr>
          <w:rFonts w:ascii="Calibri" w:hAnsi="Calibri" w:cs="Tahoma"/>
          <w:bCs/>
        </w:rPr>
        <w:t xml:space="preserve"> należy </w:t>
      </w:r>
      <w:r w:rsidR="00763207" w:rsidRPr="00554797">
        <w:rPr>
          <w:rFonts w:ascii="Calibri" w:hAnsi="Calibri" w:cs="Tahoma"/>
          <w:b/>
          <w:bCs/>
        </w:rPr>
        <w:t>zaadresować na: Uniwersytet Humanistyczno-Przyrodniczy im. Jana Długosza w Częstochowie, ul. Waszyngtona 4/8, pok. 32, 42 – 200 Częstochowa</w:t>
      </w:r>
      <w:r w:rsidR="00763207" w:rsidRPr="00554797">
        <w:rPr>
          <w:rFonts w:ascii="Calibri" w:hAnsi="Calibri" w:cs="Tahoma"/>
          <w:bCs/>
        </w:rPr>
        <w:t>.</w:t>
      </w:r>
    </w:p>
    <w:p w:rsidR="00554797" w:rsidRPr="00554797" w:rsidRDefault="00554797" w:rsidP="00554797">
      <w:pPr>
        <w:pStyle w:val="Akapitzlist"/>
        <w:numPr>
          <w:ilvl w:val="0"/>
          <w:numId w:val="23"/>
        </w:numPr>
        <w:jc w:val="both"/>
        <w:rPr>
          <w:rFonts w:ascii="Calibri" w:hAnsi="Calibri" w:cs="Tahoma"/>
          <w:bCs/>
        </w:rPr>
      </w:pPr>
      <w:r w:rsidRPr="00554797">
        <w:rPr>
          <w:rFonts w:ascii="Calibri" w:hAnsi="Calibri" w:cs="Tahoma"/>
          <w:bCs/>
        </w:rPr>
        <w:t>Na kopercie/opakowaniu oferty należy umieścić oznaczenia:</w:t>
      </w:r>
    </w:p>
    <w:p w:rsidR="00554797" w:rsidRDefault="00554797" w:rsidP="00554797">
      <w:pPr>
        <w:pStyle w:val="Akapitzlist"/>
        <w:numPr>
          <w:ilvl w:val="0"/>
          <w:numId w:val="28"/>
        </w:numPr>
        <w:jc w:val="both"/>
        <w:rPr>
          <w:rFonts w:ascii="Calibri" w:hAnsi="Calibri" w:cs="Tahoma"/>
          <w:bCs/>
        </w:rPr>
      </w:pPr>
      <w:r>
        <w:rPr>
          <w:rFonts w:ascii="Calibri" w:hAnsi="Calibri" w:cs="Tahoma"/>
          <w:bCs/>
        </w:rPr>
        <w:t>Nazwa (imię i nazwisko), adres Wykonawcy;</w:t>
      </w:r>
    </w:p>
    <w:p w:rsidR="00763207" w:rsidRPr="003E7DB2" w:rsidRDefault="00763207" w:rsidP="00554797">
      <w:pPr>
        <w:pStyle w:val="Akapitzlist"/>
        <w:numPr>
          <w:ilvl w:val="0"/>
          <w:numId w:val="28"/>
        </w:numPr>
        <w:jc w:val="both"/>
        <w:rPr>
          <w:rFonts w:ascii="Calibri" w:hAnsi="Calibri" w:cs="Tahoma"/>
          <w:bCs/>
        </w:rPr>
      </w:pPr>
      <w:r w:rsidRPr="003E7DB2">
        <w:rPr>
          <w:rFonts w:ascii="Calibri" w:hAnsi="Calibri" w:cs="Tahoma"/>
          <w:b/>
          <w:u w:val="single"/>
        </w:rPr>
        <w:t xml:space="preserve">Oferta w postepowaniu nr </w:t>
      </w:r>
      <w:r w:rsidR="00EF035A" w:rsidRPr="003E7DB2">
        <w:rPr>
          <w:rFonts w:ascii="Calibri" w:hAnsi="Calibri" w:cs="Tahoma"/>
          <w:b/>
          <w:u w:val="single"/>
        </w:rPr>
        <w:t>ZP-371/4</w:t>
      </w:r>
      <w:r w:rsidRPr="003E7DB2">
        <w:rPr>
          <w:rFonts w:ascii="Calibri" w:hAnsi="Calibri" w:cs="Tahoma"/>
          <w:b/>
          <w:u w:val="single"/>
        </w:rPr>
        <w:t>/1</w:t>
      </w:r>
      <w:r w:rsidR="00554797" w:rsidRPr="003E7DB2">
        <w:rPr>
          <w:rFonts w:ascii="Calibri" w:hAnsi="Calibri" w:cs="Tahoma"/>
          <w:b/>
          <w:u w:val="single"/>
        </w:rPr>
        <w:t>9</w:t>
      </w:r>
      <w:r w:rsidR="00B92CE5">
        <w:rPr>
          <w:rFonts w:ascii="Calibri" w:hAnsi="Calibri" w:cs="Tahoma"/>
          <w:b/>
          <w:u w:val="single"/>
        </w:rPr>
        <w:t>. Nie otwierać przed 20</w:t>
      </w:r>
      <w:r w:rsidR="00EF035A" w:rsidRPr="003E7DB2">
        <w:rPr>
          <w:rFonts w:ascii="Calibri" w:hAnsi="Calibri" w:cs="Tahoma"/>
          <w:b/>
          <w:u w:val="single"/>
        </w:rPr>
        <w:t>.02.2019</w:t>
      </w:r>
      <w:r w:rsidRPr="003E7DB2">
        <w:rPr>
          <w:rFonts w:ascii="Calibri" w:hAnsi="Calibri" w:cs="Tahoma"/>
          <w:b/>
          <w:u w:val="single"/>
        </w:rPr>
        <w:t xml:space="preserve"> r. </w:t>
      </w:r>
      <w:r w:rsidR="00EF035A" w:rsidRPr="003E7DB2">
        <w:rPr>
          <w:rFonts w:ascii="Calibri" w:hAnsi="Calibri" w:cs="Tahoma"/>
          <w:b/>
          <w:u w:val="single"/>
        </w:rPr>
        <w:t>godziną 09:30</w:t>
      </w:r>
      <w:r w:rsidRPr="003E7DB2">
        <w:rPr>
          <w:rFonts w:ascii="Calibri" w:hAnsi="Calibri" w:cs="Tahoma"/>
          <w:b/>
          <w:u w:val="single"/>
        </w:rPr>
        <w:t>”</w:t>
      </w:r>
      <w:r w:rsidRPr="003E7DB2">
        <w:rPr>
          <w:rFonts w:ascii="Calibri" w:hAnsi="Calibri" w:cs="Tahoma"/>
          <w:u w:val="single"/>
        </w:rPr>
        <w:t xml:space="preserve"> </w:t>
      </w:r>
    </w:p>
    <w:p w:rsidR="00763207" w:rsidRDefault="00763207" w:rsidP="00554797">
      <w:pPr>
        <w:pStyle w:val="Tekstpodstawowy"/>
        <w:tabs>
          <w:tab w:val="num" w:pos="426"/>
        </w:tabs>
        <w:spacing w:line="276" w:lineRule="auto"/>
        <w:ind w:left="426"/>
        <w:jc w:val="both"/>
        <w:rPr>
          <w:rFonts w:ascii="Calibri" w:hAnsi="Calibri" w:cs="Tahoma"/>
          <w:sz w:val="22"/>
          <w:szCs w:val="22"/>
        </w:rPr>
      </w:pPr>
      <w:r w:rsidRPr="00763207">
        <w:rPr>
          <w:rFonts w:ascii="Calibri" w:hAnsi="Calibri" w:cs="Tahoma"/>
          <w:sz w:val="22"/>
          <w:szCs w:val="22"/>
        </w:rPr>
        <w:lastRenderedPageBreak/>
        <w:t>W przypadku braku powyższe</w:t>
      </w:r>
      <w:r w:rsidR="00554797">
        <w:rPr>
          <w:rFonts w:ascii="Calibri" w:hAnsi="Calibri" w:cs="Tahoma"/>
          <w:sz w:val="22"/>
          <w:szCs w:val="22"/>
        </w:rPr>
        <w:t>go oznaczenia opakowania i zabezpieczenia oferty przed otwarciem</w:t>
      </w:r>
      <w:r w:rsidRPr="00763207">
        <w:rPr>
          <w:rFonts w:ascii="Calibri" w:hAnsi="Calibri" w:cs="Tahoma"/>
          <w:sz w:val="22"/>
          <w:szCs w:val="22"/>
        </w:rPr>
        <w:t xml:space="preserve"> Zamawiający nie ponosi odpowiedzialności za zdarzenia mogące wyniknąć z tego powodu, np. przypadkowe otwarcie oferty przed wyznaczonym terminem, nieotwarcie oferty podczas sesji otwarcia ofert.</w:t>
      </w:r>
    </w:p>
    <w:p w:rsidR="00554797" w:rsidRPr="00763207" w:rsidRDefault="00554797" w:rsidP="00554797">
      <w:pPr>
        <w:pStyle w:val="Tekstpodstawowy"/>
        <w:tabs>
          <w:tab w:val="num" w:pos="426"/>
        </w:tabs>
        <w:spacing w:line="276" w:lineRule="auto"/>
        <w:jc w:val="both"/>
        <w:rPr>
          <w:rFonts w:ascii="Calibri" w:hAnsi="Calibri" w:cs="Tahoma"/>
          <w:sz w:val="22"/>
          <w:szCs w:val="22"/>
        </w:rPr>
      </w:pPr>
    </w:p>
    <w:p w:rsidR="00634B14" w:rsidRPr="007826B7" w:rsidRDefault="00634B14" w:rsidP="00554797">
      <w:pPr>
        <w:rPr>
          <w:b/>
        </w:rPr>
      </w:pPr>
      <w:r w:rsidRPr="007826B7">
        <w:rPr>
          <w:b/>
        </w:rPr>
        <w:t>Rozdział 6. Składanie i otwarcie ofert</w:t>
      </w:r>
    </w:p>
    <w:p w:rsidR="00554797" w:rsidRDefault="00554797" w:rsidP="00A74385">
      <w:pPr>
        <w:pStyle w:val="Akapitzlist"/>
        <w:numPr>
          <w:ilvl w:val="0"/>
          <w:numId w:val="29"/>
        </w:numPr>
        <w:jc w:val="both"/>
        <w:rPr>
          <w:b/>
        </w:rPr>
      </w:pPr>
      <w:r>
        <w:t xml:space="preserve">Ofertę (wraz z dokumentami, oświadczeniami, o których mowa w Rozdziale 4) </w:t>
      </w:r>
      <w:r w:rsidRPr="001A0DC8">
        <w:rPr>
          <w:b/>
        </w:rPr>
        <w:t>nal</w:t>
      </w:r>
      <w:r w:rsidR="00B92CE5">
        <w:rPr>
          <w:b/>
        </w:rPr>
        <w:t>eży złożyć w terminie do dnia 20</w:t>
      </w:r>
      <w:r w:rsidR="00FF15BE">
        <w:rPr>
          <w:b/>
        </w:rPr>
        <w:t>.02.2019 do godziny 09:00</w:t>
      </w:r>
      <w:r w:rsidR="001C2095">
        <w:rPr>
          <w:b/>
        </w:rPr>
        <w:t>.</w:t>
      </w:r>
    </w:p>
    <w:p w:rsidR="001C2095" w:rsidRPr="001C2095" w:rsidRDefault="001C2095" w:rsidP="001C2095">
      <w:pPr>
        <w:pStyle w:val="Akapitzlist"/>
        <w:jc w:val="both"/>
      </w:pPr>
      <w:r>
        <w:t>Zamawiający może przedłużyć termin składania ofert przed jego upływem zamieszczając informację na stronie internetowej BIP Zamawiającego (zmiana Ogłoszenia).</w:t>
      </w:r>
    </w:p>
    <w:p w:rsidR="00554797" w:rsidRDefault="00554797" w:rsidP="00A74385">
      <w:pPr>
        <w:pStyle w:val="Akapitzlist"/>
        <w:numPr>
          <w:ilvl w:val="0"/>
          <w:numId w:val="29"/>
        </w:numPr>
        <w:jc w:val="both"/>
      </w:pPr>
      <w:r>
        <w:t xml:space="preserve">Miejsce składania ofert: </w:t>
      </w:r>
    </w:p>
    <w:p w:rsidR="00554797" w:rsidRDefault="00554797" w:rsidP="00A74385">
      <w:pPr>
        <w:pStyle w:val="Akapitzlist"/>
        <w:jc w:val="both"/>
      </w:pPr>
      <w:r>
        <w:t xml:space="preserve">Uniwersytet Humanistyczno-Przyrodniczy im. Jana Długosza w Częstochowie </w:t>
      </w:r>
    </w:p>
    <w:p w:rsidR="00554797" w:rsidRDefault="00554797" w:rsidP="00A74385">
      <w:pPr>
        <w:pStyle w:val="Akapitzlist"/>
        <w:jc w:val="both"/>
      </w:pPr>
      <w:r>
        <w:t>Ul. Waszyngtona 4/8 pok. 32 (kancelaria ogólna)</w:t>
      </w:r>
    </w:p>
    <w:p w:rsidR="00554797" w:rsidRDefault="00554797" w:rsidP="00A74385">
      <w:pPr>
        <w:pStyle w:val="Akapitzlist"/>
        <w:jc w:val="both"/>
      </w:pPr>
      <w:r>
        <w:t>42-200 Częstochowa</w:t>
      </w:r>
    </w:p>
    <w:p w:rsidR="00554797" w:rsidRDefault="00554797" w:rsidP="00A74385">
      <w:pPr>
        <w:pStyle w:val="Akapitzlist"/>
        <w:numPr>
          <w:ilvl w:val="0"/>
          <w:numId w:val="29"/>
        </w:numPr>
        <w:jc w:val="both"/>
      </w:pPr>
      <w:r>
        <w:t>Oferty można składać od poniedziałku do piątku, w godzinach 07:30 – 15.30.</w:t>
      </w:r>
    </w:p>
    <w:p w:rsidR="00A74385" w:rsidRPr="00A74385" w:rsidRDefault="00A74385" w:rsidP="00A74385">
      <w:pPr>
        <w:pStyle w:val="Akapitzlist"/>
        <w:numPr>
          <w:ilvl w:val="0"/>
          <w:numId w:val="29"/>
        </w:numPr>
        <w:jc w:val="both"/>
      </w:pPr>
      <w:r>
        <w:t xml:space="preserve">Decydujące znaczenie dla zachowania terminu składania ofert ma data i godzina wpływu (doręczenia) oferty w miejsce wskazane w pkt 2, a nie data jej nadania w placówce pocztowej </w:t>
      </w:r>
      <w:r w:rsidRPr="00A74385">
        <w:t>lub kurierowi.</w:t>
      </w:r>
    </w:p>
    <w:p w:rsidR="00A74385" w:rsidRPr="00A74385" w:rsidRDefault="00A74385" w:rsidP="00A74385">
      <w:pPr>
        <w:pStyle w:val="Akapitzlist"/>
        <w:numPr>
          <w:ilvl w:val="0"/>
          <w:numId w:val="29"/>
        </w:numPr>
        <w:jc w:val="both"/>
      </w:pPr>
      <w:r w:rsidRPr="00A74385">
        <w:t xml:space="preserve">Przed upływem termin składania ofert Wykonawca może wprowadzić zmiany do złożonej oferty. </w:t>
      </w:r>
      <w:r w:rsidRPr="00A74385">
        <w:rPr>
          <w:rFonts w:cs="Tahoma"/>
          <w:bCs/>
        </w:rPr>
        <w:t>Zmiana treści oferty winna być przygotowana i opakowana w ten sam sposób co oferta, a opakowanie winno zawierać dodatkowe oznaczenie z wyrazem „ZMIANA” . Opakowanie/koperta oznaczone „ZMIANA” będzie otwierane przy otwieraniu oferty Wykonawcy, który wprowadził daną zmianę oraz zostanie dołączone do tej oferty.</w:t>
      </w:r>
    </w:p>
    <w:p w:rsidR="00A74385" w:rsidRDefault="00A74385" w:rsidP="00A74385">
      <w:pPr>
        <w:pStyle w:val="Akapitzlist"/>
        <w:numPr>
          <w:ilvl w:val="0"/>
          <w:numId w:val="29"/>
        </w:numPr>
        <w:jc w:val="both"/>
      </w:pPr>
      <w:r>
        <w:t xml:space="preserve">Wykonawca przed upływem składania ofert może wycofać złożoną ofertę poprzez złożenie </w:t>
      </w:r>
      <w:r w:rsidR="001A0DC8">
        <w:t xml:space="preserve">pisemnego </w:t>
      </w:r>
      <w:r>
        <w:t xml:space="preserve">powiadomienia o wycofaniu </w:t>
      </w:r>
      <w:r w:rsidR="001A0DC8">
        <w:t xml:space="preserve">podpisanego przez osobę (osoby) upoważnione do reprezentowania Wykonawcy na adres wskazany w pkt 2 lub prześle kopię takiego oświadczenia pocztą elektroniczną na adres: </w:t>
      </w:r>
      <w:hyperlink r:id="rId9" w:history="1">
        <w:r w:rsidR="00B92CE5" w:rsidRPr="004D36BE">
          <w:rPr>
            <w:rStyle w:val="Hipercze"/>
          </w:rPr>
          <w:t>a.bojarska@ujd.edu.pl</w:t>
        </w:r>
      </w:hyperlink>
      <w:r w:rsidR="001A0DC8">
        <w:t xml:space="preserve"> </w:t>
      </w:r>
    </w:p>
    <w:p w:rsidR="001A0DC8" w:rsidRDefault="001A0DC8" w:rsidP="00A74385">
      <w:pPr>
        <w:pStyle w:val="Akapitzlist"/>
        <w:numPr>
          <w:ilvl w:val="0"/>
          <w:numId w:val="29"/>
        </w:numPr>
        <w:jc w:val="both"/>
      </w:pPr>
      <w:r w:rsidRPr="001A0DC8">
        <w:rPr>
          <w:b/>
        </w:rPr>
        <w:t>Otwarcie ofert</w:t>
      </w:r>
      <w:r>
        <w:t xml:space="preserve"> nastąpi </w:t>
      </w:r>
      <w:r w:rsidR="00B92CE5">
        <w:rPr>
          <w:b/>
        </w:rPr>
        <w:t>w dniu 20</w:t>
      </w:r>
      <w:r w:rsidR="003E7DB2">
        <w:rPr>
          <w:b/>
        </w:rPr>
        <w:t>.02.2019 r. o godzinie 09:</w:t>
      </w:r>
      <w:r w:rsidR="00FF15BE">
        <w:rPr>
          <w:b/>
        </w:rPr>
        <w:t>30</w:t>
      </w:r>
      <w:r>
        <w:t xml:space="preserve"> w siedzibie Uniwersytetu Humanistyczno-Przy</w:t>
      </w:r>
      <w:r w:rsidR="001A28CF">
        <w:t>r</w:t>
      </w:r>
      <w:r>
        <w:t>odniczego im. Jana Długosza w Częstochowie, ul. Waszyngtona 4/8 pok. 138, Częstochowa.</w:t>
      </w:r>
    </w:p>
    <w:p w:rsidR="001A0DC8" w:rsidRDefault="001A0DC8" w:rsidP="00A74385">
      <w:pPr>
        <w:pStyle w:val="Akapitzlist"/>
        <w:numPr>
          <w:ilvl w:val="0"/>
          <w:numId w:val="29"/>
        </w:numPr>
        <w:jc w:val="both"/>
      </w:pPr>
      <w:r>
        <w:t>Otwarcie ofert jest jawne.</w:t>
      </w:r>
    </w:p>
    <w:p w:rsidR="009E2610" w:rsidRDefault="009E2610" w:rsidP="00A74385">
      <w:pPr>
        <w:pStyle w:val="Akapitzlist"/>
        <w:numPr>
          <w:ilvl w:val="0"/>
          <w:numId w:val="29"/>
        </w:numPr>
        <w:jc w:val="both"/>
      </w:pPr>
      <w:r>
        <w:t>Bezpośrednio przed otwarciem ofert Zamawiający poda kwotę jaką zamierza przeznaczyć na realizację zamówienia.</w:t>
      </w:r>
    </w:p>
    <w:p w:rsidR="001A0DC8" w:rsidRDefault="001A0DC8" w:rsidP="00A74385">
      <w:pPr>
        <w:pStyle w:val="Akapitzlist"/>
        <w:numPr>
          <w:ilvl w:val="0"/>
          <w:numId w:val="29"/>
        </w:numPr>
        <w:jc w:val="both"/>
      </w:pPr>
      <w:r>
        <w:t>Podczas sesji otwarcia ofert Zamawiający odczyta:</w:t>
      </w:r>
    </w:p>
    <w:p w:rsidR="001A0DC8" w:rsidRDefault="005454AE" w:rsidP="005454AE">
      <w:pPr>
        <w:pStyle w:val="Akapitzlist"/>
        <w:numPr>
          <w:ilvl w:val="0"/>
          <w:numId w:val="30"/>
        </w:numPr>
        <w:jc w:val="both"/>
      </w:pPr>
      <w:r>
        <w:t xml:space="preserve">Nazwy, adresy Wykonawców, </w:t>
      </w:r>
    </w:p>
    <w:p w:rsidR="005454AE" w:rsidRDefault="005454AE" w:rsidP="005454AE">
      <w:pPr>
        <w:pStyle w:val="Akapitzlist"/>
        <w:numPr>
          <w:ilvl w:val="0"/>
          <w:numId w:val="30"/>
        </w:numPr>
        <w:jc w:val="both"/>
      </w:pPr>
      <w:r>
        <w:t>Informacje dotyczące ceny</w:t>
      </w:r>
      <w:r w:rsidR="009E2610">
        <w:t>, terminu wykonania i warunków płatności.</w:t>
      </w:r>
    </w:p>
    <w:p w:rsidR="00B92CE5" w:rsidRDefault="009E2610" w:rsidP="005454AE">
      <w:pPr>
        <w:pStyle w:val="Akapitzlist"/>
        <w:numPr>
          <w:ilvl w:val="0"/>
          <w:numId w:val="29"/>
        </w:numPr>
        <w:ind w:left="1080"/>
        <w:jc w:val="both"/>
      </w:pPr>
      <w:r>
        <w:t>Oferty, które zostaną złożone po terminie, o którym mowa w pkt 1, zostaną niezwłocznie zwrócone Wykonawcom.</w:t>
      </w:r>
    </w:p>
    <w:p w:rsidR="00EF7BFE" w:rsidRDefault="00EF7BFE" w:rsidP="005454AE">
      <w:pPr>
        <w:pStyle w:val="Akapitzlist"/>
        <w:numPr>
          <w:ilvl w:val="0"/>
          <w:numId w:val="29"/>
        </w:numPr>
        <w:ind w:left="1080"/>
        <w:jc w:val="both"/>
      </w:pPr>
    </w:p>
    <w:p w:rsidR="00634B14" w:rsidRPr="009E2610" w:rsidRDefault="00634B14" w:rsidP="00554797">
      <w:pPr>
        <w:rPr>
          <w:b/>
        </w:rPr>
      </w:pPr>
      <w:r w:rsidRPr="009E2610">
        <w:rPr>
          <w:b/>
        </w:rPr>
        <w:lastRenderedPageBreak/>
        <w:t>Rozdział 7. Termin związania ofertą</w:t>
      </w:r>
    </w:p>
    <w:p w:rsidR="009E2610" w:rsidRDefault="009E2610" w:rsidP="009E2610">
      <w:pPr>
        <w:pStyle w:val="Akapitzlist"/>
        <w:numPr>
          <w:ilvl w:val="0"/>
          <w:numId w:val="31"/>
        </w:numPr>
        <w:jc w:val="both"/>
      </w:pPr>
      <w:r>
        <w:t>Wykonawca związany jest ofertą przez okres 30 dni od terminu składania ofert. Bieg terminu związania ofertą rozpoczyna się wraz z upływem terminu składania ofert.</w:t>
      </w:r>
    </w:p>
    <w:p w:rsidR="009E2610" w:rsidRDefault="009E2610" w:rsidP="009E2610">
      <w:pPr>
        <w:pStyle w:val="Akapitzlist"/>
        <w:numPr>
          <w:ilvl w:val="0"/>
          <w:numId w:val="31"/>
        </w:numPr>
        <w:jc w:val="both"/>
      </w:pPr>
      <w:r>
        <w:t>Wykonawca samodzielnie lub na wniosek Zamawiającego może przedłużyć termin związania ofertą, z tym ze Zamawiający może tylko raz, co najmniej na 3 dni przed upływem terminu związania ofertą zwrócić się do Wykonawców o wyrażenie zgody na przedłużenie tego terminu o oznaczony okres nie dłuższy jednak niż o 60 dni.</w:t>
      </w:r>
    </w:p>
    <w:p w:rsidR="009E2610" w:rsidRPr="009E2610" w:rsidRDefault="009E2610" w:rsidP="009E2610">
      <w:pPr>
        <w:rPr>
          <w:b/>
        </w:rPr>
      </w:pPr>
      <w:r w:rsidRPr="009E2610">
        <w:rPr>
          <w:b/>
        </w:rPr>
        <w:t>Rozdział 8. Opis sposobu obliczenia ceny</w:t>
      </w:r>
    </w:p>
    <w:p w:rsidR="009E2610" w:rsidRDefault="009E2610" w:rsidP="00D45349">
      <w:pPr>
        <w:pStyle w:val="Akapitzlist"/>
        <w:numPr>
          <w:ilvl w:val="0"/>
          <w:numId w:val="32"/>
        </w:numPr>
        <w:jc w:val="both"/>
      </w:pPr>
      <w:r>
        <w:t>Wykonawca poda w ofercie ceny jednostkowe brutto oraz cenę brutto</w:t>
      </w:r>
      <w:r w:rsidRPr="009E2610">
        <w:t xml:space="preserve"> </w:t>
      </w:r>
      <w:r>
        <w:t>oferty oraz zastosowaną stawkę podatku VAT w formularzu ofertowym sporządzonym według wzo</w:t>
      </w:r>
      <w:r w:rsidR="007B3F9D">
        <w:t>ru stanowiącego załącznik nr 1</w:t>
      </w:r>
      <w:r>
        <w:t xml:space="preserve"> do Ogłoszenia.</w:t>
      </w:r>
      <w:r w:rsidR="00D45349">
        <w:t xml:space="preserve"> Wykonawca w cenie realizacji całości zamówienia zobowiązany jest uwzględnić maksymalny poziom realizacji usługi, tj. 800 badań ex ante i 707 badań ex post.</w:t>
      </w:r>
    </w:p>
    <w:p w:rsidR="009E2610" w:rsidRDefault="009E2610" w:rsidP="00D45349">
      <w:pPr>
        <w:pStyle w:val="Akapitzlist"/>
        <w:numPr>
          <w:ilvl w:val="0"/>
          <w:numId w:val="32"/>
        </w:numPr>
        <w:jc w:val="both"/>
      </w:pPr>
      <w:r>
        <w:t>Ceny muszą być wyrażone w złotych polskich (PLN), z dokładnością nie większą niż dwa miejsca po przecinku.</w:t>
      </w:r>
    </w:p>
    <w:p w:rsidR="009E2610" w:rsidRDefault="009E2610" w:rsidP="00D45349">
      <w:pPr>
        <w:pStyle w:val="Akapitzlist"/>
        <w:numPr>
          <w:ilvl w:val="0"/>
          <w:numId w:val="32"/>
        </w:numPr>
        <w:jc w:val="both"/>
      </w:pPr>
      <w:r>
        <w:t>Wykonawca musi uwzględnić w cenach jednostkowych brutt</w:t>
      </w:r>
      <w:r w:rsidR="00D45349">
        <w:t>o</w:t>
      </w:r>
      <w:r>
        <w:t xml:space="preserve"> oraz w cenie oferty wszelkie koszty niezbędne do prawidłowego i pełnego wykonania zamówienia, wszelkie opłaty i podatki wynikające z obowiązujących przepisów.</w:t>
      </w:r>
    </w:p>
    <w:p w:rsidR="009E2610" w:rsidRPr="009E2610" w:rsidRDefault="009E2610" w:rsidP="00D45349">
      <w:pPr>
        <w:pStyle w:val="Akapitzlist"/>
        <w:numPr>
          <w:ilvl w:val="0"/>
          <w:numId w:val="32"/>
        </w:numPr>
        <w:jc w:val="both"/>
      </w:pPr>
      <w:r>
        <w:t xml:space="preserve">Jeżeli złożono ofertę, której wybór prowadził będzie do powstania obowiązku podatkowego u Zamawiającego zgodnie z przepisami o podatku od towarów i usług, Zamawiający w celu oceny takiej oferty doliczy do przedstawionej w niej ceny podatek od towarów, który będzie miał obowiązek rozliczyć w razie wyboru oferty, zgodnie z tymi przepisami. W takiej sytuacji Wykonawca, składając ofertę, </w:t>
      </w:r>
      <w:r w:rsidRPr="009E2610">
        <w:rPr>
          <w:rFonts w:cs="Tahoma"/>
        </w:rPr>
        <w:t>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 Wówczas Wykonawca w formularzu oferty nie wpisuje stawki podatku VAT (cena nie uwzględnia podatku VAT), a jedynie informację, iż obowiązek podatkowy spoczywa na zamawiającym.</w:t>
      </w:r>
    </w:p>
    <w:p w:rsidR="009E2610" w:rsidRDefault="009E2610" w:rsidP="00D45349">
      <w:pPr>
        <w:pStyle w:val="Akapitzlist"/>
        <w:numPr>
          <w:ilvl w:val="0"/>
          <w:numId w:val="32"/>
        </w:numPr>
        <w:jc w:val="both"/>
      </w:pPr>
      <w:r>
        <w:t>Rozliczenia między Zamawiającym a Wykonawcą będą prowadzone w PLN.</w:t>
      </w:r>
    </w:p>
    <w:p w:rsidR="009E2610" w:rsidRPr="009E2610" w:rsidRDefault="009E2610" w:rsidP="009E2610">
      <w:r>
        <w:rPr>
          <w:b/>
        </w:rPr>
        <w:t>Rozdział 9. Badanie ofert</w:t>
      </w:r>
    </w:p>
    <w:p w:rsidR="00634B14" w:rsidRDefault="009E2610" w:rsidP="009E2610">
      <w:pPr>
        <w:pStyle w:val="Akapitzlist"/>
        <w:numPr>
          <w:ilvl w:val="0"/>
          <w:numId w:val="34"/>
        </w:numPr>
        <w:jc w:val="both"/>
      </w:pPr>
      <w:r>
        <w:t>W toku badania i oceny ofert Zamawiający może żądać od Wykonawców wyjaśnień dotyczących treści złożonych ofert, w tym załączonych oświadczeń i dokumentów.</w:t>
      </w:r>
    </w:p>
    <w:p w:rsidR="009E2610" w:rsidRDefault="009E2610" w:rsidP="009E2610">
      <w:pPr>
        <w:pStyle w:val="Akapitzlist"/>
        <w:numPr>
          <w:ilvl w:val="0"/>
          <w:numId w:val="34"/>
        </w:numPr>
        <w:jc w:val="both"/>
      </w:pPr>
      <w:r>
        <w:t>Niedopuszczalne jest prowadzenie między Zamawiającym a Wykonawcą negocjacji dotyczących złożonej oferty oraz dokonywanie zmian w jej treści, z zastrzeżeniem pkt 4.</w:t>
      </w:r>
    </w:p>
    <w:p w:rsidR="009E2610" w:rsidRDefault="009E2610" w:rsidP="009E2610">
      <w:pPr>
        <w:pStyle w:val="Akapitzlist"/>
        <w:numPr>
          <w:ilvl w:val="0"/>
          <w:numId w:val="34"/>
        </w:numPr>
        <w:jc w:val="both"/>
      </w:pPr>
      <w:r>
        <w:t xml:space="preserve">Jeżeli zaoferowana cena budzi wątpliwości Zamawiającego co do możliwości wykonania przedmiotu zamówienia zgodnie z wymaganiami określonymi w Ogłoszeniu lub odrębnych przepisach prawa, Zamawiający zwróci się do Wykonawcy o udzielenie wyjaśnień, w tym </w:t>
      </w:r>
      <w:r>
        <w:lastRenderedPageBreak/>
        <w:t>złożenie dowodów dotyczących wyliczenia ceny. Obowiązek wykazania, ze zaoferowana cena nie jest ceną rażąco niską spoczywa na Wykonawcy.</w:t>
      </w:r>
    </w:p>
    <w:p w:rsidR="009E2610" w:rsidRDefault="009E2610" w:rsidP="009E2610">
      <w:pPr>
        <w:pStyle w:val="Akapitzlist"/>
        <w:numPr>
          <w:ilvl w:val="0"/>
          <w:numId w:val="34"/>
        </w:numPr>
        <w:jc w:val="both"/>
      </w:pPr>
      <w:r>
        <w:t>Zamawiający poprawi w ofercie:</w:t>
      </w:r>
    </w:p>
    <w:p w:rsidR="009E2610" w:rsidRDefault="009E2610" w:rsidP="009E2610">
      <w:pPr>
        <w:pStyle w:val="Akapitzlist"/>
        <w:numPr>
          <w:ilvl w:val="0"/>
          <w:numId w:val="35"/>
        </w:numPr>
        <w:jc w:val="both"/>
      </w:pPr>
      <w:r>
        <w:t xml:space="preserve">Oczywiste omyłki pisarskie, </w:t>
      </w:r>
    </w:p>
    <w:p w:rsidR="009E2610" w:rsidRDefault="009E2610" w:rsidP="009E2610">
      <w:pPr>
        <w:pStyle w:val="Akapitzlist"/>
        <w:numPr>
          <w:ilvl w:val="0"/>
          <w:numId w:val="35"/>
        </w:numPr>
        <w:jc w:val="both"/>
      </w:pPr>
      <w:r>
        <w:t>Oczywiste omyłki rachunkowe, z uwzględnieniem konsekwencji rachunkowych dokonanych poprawek,</w:t>
      </w:r>
    </w:p>
    <w:p w:rsidR="009E2610" w:rsidRDefault="009E2610" w:rsidP="009E2610">
      <w:pPr>
        <w:pStyle w:val="Akapitzlist"/>
        <w:numPr>
          <w:ilvl w:val="0"/>
          <w:numId w:val="35"/>
        </w:numPr>
        <w:jc w:val="both"/>
      </w:pPr>
      <w:r>
        <w:t>Inne omyłki polegające na niezgodności oferty z Ogłoszeniem, niepowodujące istotnych zmian w treści oferty.</w:t>
      </w:r>
    </w:p>
    <w:p w:rsidR="009E2610" w:rsidRDefault="009E2610" w:rsidP="009E2610">
      <w:pPr>
        <w:pStyle w:val="Akapitzlist"/>
        <w:numPr>
          <w:ilvl w:val="0"/>
          <w:numId w:val="34"/>
        </w:numPr>
        <w:jc w:val="both"/>
      </w:pPr>
      <w:r>
        <w:t>O poprawieniu omyłek, o których mowa w pkt 4, Zamawiający poinformuje Wykonawcę, którego oferta została poprawiona.</w:t>
      </w:r>
    </w:p>
    <w:p w:rsidR="009E2610" w:rsidRPr="009E2610" w:rsidRDefault="009E2610" w:rsidP="009E2610">
      <w:pPr>
        <w:pStyle w:val="Akapitzlist"/>
        <w:numPr>
          <w:ilvl w:val="0"/>
          <w:numId w:val="34"/>
        </w:numPr>
        <w:jc w:val="both"/>
        <w:rPr>
          <w:b/>
        </w:rPr>
      </w:pPr>
      <w:r w:rsidRPr="009E2610">
        <w:rPr>
          <w:b/>
        </w:rPr>
        <w:t>Zamawiający najpierw dokona oceny ofert, a następnie zbada, czy Wykonawca, którego oferta została oceniona jako najkorzystniejsza, nie podlega wykluczeniu z postępowania oraz spełnia warunki udziału w postępowaniu.</w:t>
      </w:r>
    </w:p>
    <w:p w:rsidR="009E2610" w:rsidRDefault="00A83D73" w:rsidP="00B67505">
      <w:pPr>
        <w:pStyle w:val="Akapitzlist"/>
        <w:numPr>
          <w:ilvl w:val="0"/>
          <w:numId w:val="34"/>
        </w:numPr>
        <w:jc w:val="both"/>
      </w:pPr>
      <w:r>
        <w:t>Jeżeli Wykonawca nie złożył wymaganych oświadczeń lub dokumentów, oświadczenia lub dokumenty są niekompletne, zawierają błędy, budzą wątpliwości Zamawiającego, Zamawiający wezwie Wykonawcę do ich złożenia, uzupełnienia lub do udzielenia wyjaśnień w terminie przez siebie wskazanym, chyba ze mimo ich złożenia, uzupełnienia, poprawienia lub wyjaśnienia oferta Wykonawcy podlegałaby odrzuceniu albo</w:t>
      </w:r>
      <w:r w:rsidR="009E6367">
        <w:t xml:space="preserve"> zachodzą przesłanki określone w Rozdziale 13.</w:t>
      </w:r>
    </w:p>
    <w:p w:rsidR="009E6367" w:rsidRDefault="00B67505" w:rsidP="009E6367">
      <w:pPr>
        <w:pStyle w:val="Akapitzlist"/>
        <w:numPr>
          <w:ilvl w:val="0"/>
          <w:numId w:val="34"/>
        </w:numPr>
        <w:jc w:val="both"/>
      </w:pPr>
      <w:r>
        <w:t xml:space="preserve">Jeżeli Wykonawca nie złoży wymaganych pełnomocnictw albo złożył wadliwe pełnomocnictwa, Zamawiający wezwie do ich złożenia w wyznaczonym przez siebie terminie, chyba, że mimo ich złożenia  oferta Wykonawcy podlega odrzuceniu albo </w:t>
      </w:r>
      <w:r w:rsidR="009E6367">
        <w:t>zachodzą przesłanki określone w Rozdziale 13.</w:t>
      </w:r>
    </w:p>
    <w:p w:rsidR="00EA4D19" w:rsidRDefault="00EA4D19" w:rsidP="009E6367">
      <w:pPr>
        <w:pStyle w:val="Akapitzlist"/>
        <w:numPr>
          <w:ilvl w:val="0"/>
          <w:numId w:val="34"/>
        </w:numPr>
        <w:jc w:val="both"/>
      </w:pPr>
      <w:r>
        <w:t>Jeżeli złożone przez Wykonawcę dokumenty budzą wątpliwości Zamawiającego, może on zwrócić się bezpośrednio do podmiotu, na rzecz którego usługi zostały wykonane lub są wykonywane o dodatkowe informacje lub dokumenty w tym zakresie.</w:t>
      </w:r>
    </w:p>
    <w:p w:rsidR="00B67505" w:rsidRDefault="003D4B56" w:rsidP="009E2610">
      <w:pPr>
        <w:pStyle w:val="Akapitzlist"/>
        <w:numPr>
          <w:ilvl w:val="0"/>
          <w:numId w:val="34"/>
        </w:numPr>
        <w:jc w:val="both"/>
      </w:pPr>
      <w:r>
        <w:t>Zamawiający wykluczy z postępowania wykonawców:</w:t>
      </w:r>
    </w:p>
    <w:p w:rsidR="003D4B56" w:rsidRDefault="00E078D8" w:rsidP="00E078D8">
      <w:pPr>
        <w:pStyle w:val="Akapitzlist"/>
        <w:numPr>
          <w:ilvl w:val="0"/>
          <w:numId w:val="36"/>
        </w:numPr>
      </w:pPr>
      <w:r>
        <w:t xml:space="preserve">Wobec których zachodzą przesłanki określone </w:t>
      </w:r>
      <w:r w:rsidR="003D4B56">
        <w:t>w art. 24 ust. 1 pkt 13-23</w:t>
      </w:r>
      <w:r>
        <w:t xml:space="preserve"> oraz ust. 5 pkt 1 ustawy lub nie wykazali, że nie zachodzą wobec nich te przesłanki; </w:t>
      </w:r>
    </w:p>
    <w:p w:rsidR="003D4B56" w:rsidRDefault="003D4B56" w:rsidP="003D4B56">
      <w:pPr>
        <w:pStyle w:val="Akapitzlist"/>
        <w:numPr>
          <w:ilvl w:val="0"/>
          <w:numId w:val="36"/>
        </w:numPr>
      </w:pPr>
      <w:r>
        <w:t>którzy nie wykazali spełniania warunków udziału w postepowaniu określonych w Rozdziale 3 pkt 1.2.-1.3.</w:t>
      </w:r>
    </w:p>
    <w:p w:rsidR="003D4B56" w:rsidRDefault="003D4B56" w:rsidP="007826B7">
      <w:pPr>
        <w:pStyle w:val="Akapitzlist"/>
        <w:numPr>
          <w:ilvl w:val="0"/>
          <w:numId w:val="34"/>
        </w:numPr>
        <w:jc w:val="both"/>
      </w:pPr>
      <w:r>
        <w:t>Zamawiający odrzuci ofertę, jeżeli</w:t>
      </w:r>
    </w:p>
    <w:p w:rsidR="003D4B56" w:rsidRDefault="003D4B56" w:rsidP="007826B7">
      <w:pPr>
        <w:pStyle w:val="Akapitzlist"/>
        <w:numPr>
          <w:ilvl w:val="0"/>
          <w:numId w:val="37"/>
        </w:numPr>
        <w:jc w:val="both"/>
      </w:pPr>
      <w:r>
        <w:t>treść oferty nie odpowiada treści Ogłoszenia, z zastrzeżeniem zapisów pkt 4 lit. c)</w:t>
      </w:r>
      <w:r w:rsidR="00DF163D">
        <w:t>;</w:t>
      </w:r>
    </w:p>
    <w:p w:rsidR="003D4B56" w:rsidRDefault="003D4B56" w:rsidP="007826B7">
      <w:pPr>
        <w:pStyle w:val="Akapitzlist"/>
        <w:numPr>
          <w:ilvl w:val="0"/>
          <w:numId w:val="37"/>
        </w:numPr>
        <w:jc w:val="both"/>
      </w:pPr>
      <w:r>
        <w:t xml:space="preserve">jej złożenie stanowi czyn nieuczciwej konkurencji w rozumieniu przepisów </w:t>
      </w:r>
      <w:r w:rsidR="00E03699">
        <w:t>ustawy o zwalczaniu nieuczciwej konkurencji;</w:t>
      </w:r>
    </w:p>
    <w:p w:rsidR="00DF163D" w:rsidRDefault="00DF163D" w:rsidP="007826B7">
      <w:pPr>
        <w:pStyle w:val="Akapitzlist"/>
        <w:numPr>
          <w:ilvl w:val="0"/>
          <w:numId w:val="37"/>
        </w:numPr>
        <w:jc w:val="both"/>
      </w:pPr>
      <w:r>
        <w:t>zawiera rażąco niską cenę w stosunku do przedmiotu zamówienia, w tym Wykonawca nie udziel</w:t>
      </w:r>
      <w:r w:rsidR="007826B7">
        <w:t>ił wyjaśnień lub nie wykazał że zaoferowana cena nie jest rażąco niska;</w:t>
      </w:r>
    </w:p>
    <w:p w:rsidR="00E03699" w:rsidRDefault="00E03699" w:rsidP="007826B7">
      <w:pPr>
        <w:pStyle w:val="Akapitzlist"/>
        <w:numPr>
          <w:ilvl w:val="0"/>
          <w:numId w:val="37"/>
        </w:numPr>
        <w:jc w:val="both"/>
      </w:pPr>
      <w:r>
        <w:t>zawiera błędy w wyliczeniu ceny, w tym wykonawca zastosował nieprawidłową stawkę podatku VAT,</w:t>
      </w:r>
    </w:p>
    <w:p w:rsidR="00DF163D" w:rsidRDefault="00DF163D" w:rsidP="007826B7">
      <w:pPr>
        <w:pStyle w:val="Akapitzlist"/>
        <w:numPr>
          <w:ilvl w:val="0"/>
          <w:numId w:val="37"/>
        </w:numPr>
        <w:jc w:val="both"/>
      </w:pPr>
      <w:r>
        <w:lastRenderedPageBreak/>
        <w:t>Wykonawca w terminie 3 dni od doręczenia zawiadomienia nie zgodził się na poprawienie omyłki, o której mowa w pkt 4 lit c)</w:t>
      </w:r>
      <w:r w:rsidR="007826B7">
        <w:t>;</w:t>
      </w:r>
    </w:p>
    <w:p w:rsidR="00DF163D" w:rsidRDefault="007826B7" w:rsidP="007826B7">
      <w:pPr>
        <w:pStyle w:val="Akapitzlist"/>
        <w:numPr>
          <w:ilvl w:val="0"/>
          <w:numId w:val="37"/>
        </w:numPr>
        <w:jc w:val="both"/>
      </w:pPr>
      <w:r>
        <w:t>Wykonawca nie wyraził zgody na przedłużenie terminu związania ofertą, o której mowa w Rozdziale 7 pkt 2;</w:t>
      </w:r>
    </w:p>
    <w:p w:rsidR="00E03699" w:rsidRDefault="00E03699" w:rsidP="007826B7">
      <w:pPr>
        <w:pStyle w:val="Akapitzlist"/>
        <w:numPr>
          <w:ilvl w:val="0"/>
          <w:numId w:val="37"/>
        </w:numPr>
        <w:jc w:val="both"/>
      </w:pPr>
      <w:r>
        <w:t>jest nieważna na podstawie odrębnych przepisów.</w:t>
      </w:r>
    </w:p>
    <w:p w:rsidR="00E03699" w:rsidRDefault="00DF163D" w:rsidP="007826B7">
      <w:pPr>
        <w:pStyle w:val="Akapitzlist"/>
        <w:numPr>
          <w:ilvl w:val="0"/>
          <w:numId w:val="34"/>
        </w:numPr>
        <w:jc w:val="both"/>
      </w:pPr>
      <w:r>
        <w:t>Ofertę Wykonawcy wykluczonego z postępowania uznaje się za odrzuconą.</w:t>
      </w:r>
    </w:p>
    <w:p w:rsidR="00A601CC" w:rsidRPr="00E11A1B" w:rsidRDefault="00A601CC" w:rsidP="00A601CC">
      <w:pPr>
        <w:pStyle w:val="Akapitzlist"/>
        <w:numPr>
          <w:ilvl w:val="0"/>
          <w:numId w:val="34"/>
        </w:numPr>
        <w:autoSpaceDE w:val="0"/>
        <w:autoSpaceDN w:val="0"/>
        <w:adjustRightInd w:val="0"/>
        <w:spacing w:after="0" w:line="259" w:lineRule="auto"/>
        <w:jc w:val="both"/>
      </w:pPr>
      <w:r>
        <w:t>W przypadku, gdy Wykonawca, o którym mowa w pkt 6 uchyla się od zawarcia umowy, Zamawiający może zbadać, czy nie podlega wykluczeniu i spełnia warunki udziału w postępowaniu Wykonawca, który złożył ofertę najwyżej ocenioną spośród pozostałych ofert.</w:t>
      </w:r>
    </w:p>
    <w:p w:rsidR="00A601CC" w:rsidRPr="00C03BB6" w:rsidRDefault="00A601CC" w:rsidP="00A601CC">
      <w:pPr>
        <w:spacing w:after="0"/>
        <w:contextualSpacing/>
        <w:jc w:val="both"/>
      </w:pPr>
    </w:p>
    <w:p w:rsidR="00634B14" w:rsidRPr="001C6ABA" w:rsidRDefault="00634B14" w:rsidP="00634B14">
      <w:pPr>
        <w:rPr>
          <w:b/>
        </w:rPr>
      </w:pPr>
      <w:r w:rsidRPr="001C6ABA">
        <w:rPr>
          <w:b/>
        </w:rPr>
        <w:t>Rozdział 10. Kryteria wyboru oferty</w:t>
      </w:r>
    </w:p>
    <w:p w:rsidR="00634B14" w:rsidRDefault="00634B14" w:rsidP="00634B14">
      <w:pPr>
        <w:pStyle w:val="Akapitzlist"/>
        <w:numPr>
          <w:ilvl w:val="0"/>
          <w:numId w:val="18"/>
        </w:numPr>
      </w:pPr>
      <w:r>
        <w:t>Zamawiający dokona oceny ofert niepodlegających odrzuceniu w oparciu o następujące kryteria wyboru oferty:</w:t>
      </w:r>
    </w:p>
    <w:p w:rsidR="00634B14" w:rsidRDefault="00634B14" w:rsidP="00634B14">
      <w:pPr>
        <w:pStyle w:val="Akapitzlist"/>
      </w:pPr>
    </w:p>
    <w:tbl>
      <w:tblPr>
        <w:tblStyle w:val="Tabela-Siatka"/>
        <w:tblW w:w="0" w:type="auto"/>
        <w:tblInd w:w="720" w:type="dxa"/>
        <w:tblLook w:val="04A0" w:firstRow="1" w:lastRow="0" w:firstColumn="1" w:lastColumn="0" w:noHBand="0" w:noVBand="1"/>
      </w:tblPr>
      <w:tblGrid>
        <w:gridCol w:w="4305"/>
        <w:gridCol w:w="4263"/>
      </w:tblGrid>
      <w:tr w:rsidR="00634B14" w:rsidRPr="001A7EB2" w:rsidTr="00634B14">
        <w:tc>
          <w:tcPr>
            <w:tcW w:w="4606" w:type="dxa"/>
          </w:tcPr>
          <w:p w:rsidR="00634B14" w:rsidRPr="001A7EB2" w:rsidRDefault="00634B14" w:rsidP="001A7EB2">
            <w:pPr>
              <w:pStyle w:val="Akapitzlist"/>
              <w:ind w:left="0"/>
              <w:jc w:val="center"/>
              <w:rPr>
                <w:b/>
              </w:rPr>
            </w:pPr>
            <w:r w:rsidRPr="001A7EB2">
              <w:rPr>
                <w:b/>
              </w:rPr>
              <w:t>Nazwa kryterium</w:t>
            </w:r>
          </w:p>
        </w:tc>
        <w:tc>
          <w:tcPr>
            <w:tcW w:w="4606" w:type="dxa"/>
          </w:tcPr>
          <w:p w:rsidR="00634B14" w:rsidRPr="001A7EB2" w:rsidRDefault="00634B14" w:rsidP="001A7EB2">
            <w:pPr>
              <w:pStyle w:val="Akapitzlist"/>
              <w:ind w:left="0"/>
              <w:jc w:val="center"/>
              <w:rPr>
                <w:b/>
              </w:rPr>
            </w:pPr>
            <w:r w:rsidRPr="001A7EB2">
              <w:rPr>
                <w:b/>
              </w:rPr>
              <w:t>Znaczenie kryterium w %</w:t>
            </w:r>
          </w:p>
        </w:tc>
      </w:tr>
      <w:tr w:rsidR="00634B14" w:rsidTr="00634B14">
        <w:tc>
          <w:tcPr>
            <w:tcW w:w="4606" w:type="dxa"/>
          </w:tcPr>
          <w:p w:rsidR="00634B14" w:rsidRDefault="00634B14" w:rsidP="00634B14">
            <w:pPr>
              <w:pStyle w:val="Akapitzlist"/>
              <w:ind w:left="0"/>
            </w:pPr>
            <w:r>
              <w:t>Cena</w:t>
            </w:r>
          </w:p>
        </w:tc>
        <w:tc>
          <w:tcPr>
            <w:tcW w:w="4606" w:type="dxa"/>
          </w:tcPr>
          <w:p w:rsidR="00634B14" w:rsidRDefault="009849DE" w:rsidP="00634B14">
            <w:pPr>
              <w:pStyle w:val="Akapitzlist"/>
              <w:ind w:left="0"/>
            </w:pPr>
            <w:r>
              <w:t>5</w:t>
            </w:r>
            <w:r w:rsidR="00634B14">
              <w:t>0</w:t>
            </w:r>
          </w:p>
        </w:tc>
      </w:tr>
      <w:tr w:rsidR="00634B14" w:rsidTr="00634B14">
        <w:tc>
          <w:tcPr>
            <w:tcW w:w="4606" w:type="dxa"/>
          </w:tcPr>
          <w:p w:rsidR="00634B14" w:rsidRDefault="00634B14" w:rsidP="00634B14">
            <w:pPr>
              <w:pStyle w:val="Akapitzlist"/>
              <w:ind w:left="0"/>
            </w:pPr>
            <w:r>
              <w:t>Doświadczenie wykonawcy</w:t>
            </w:r>
          </w:p>
        </w:tc>
        <w:tc>
          <w:tcPr>
            <w:tcW w:w="4606" w:type="dxa"/>
          </w:tcPr>
          <w:p w:rsidR="00634B14" w:rsidRDefault="00634B14" w:rsidP="00634B14">
            <w:pPr>
              <w:pStyle w:val="Akapitzlist"/>
              <w:ind w:left="0"/>
            </w:pPr>
            <w:r>
              <w:t>30</w:t>
            </w:r>
          </w:p>
        </w:tc>
      </w:tr>
      <w:tr w:rsidR="00634B14" w:rsidTr="00634B14">
        <w:tc>
          <w:tcPr>
            <w:tcW w:w="4606" w:type="dxa"/>
          </w:tcPr>
          <w:p w:rsidR="00634B14" w:rsidRDefault="001A7EB2" w:rsidP="00634B14">
            <w:pPr>
              <w:pStyle w:val="Akapitzlist"/>
              <w:ind w:left="0"/>
            </w:pPr>
            <w:r>
              <w:t>Narzędzia do realizacji diagnozy</w:t>
            </w:r>
          </w:p>
        </w:tc>
        <w:tc>
          <w:tcPr>
            <w:tcW w:w="4606" w:type="dxa"/>
          </w:tcPr>
          <w:p w:rsidR="00634B14" w:rsidRDefault="009849DE" w:rsidP="00634B14">
            <w:pPr>
              <w:pStyle w:val="Akapitzlist"/>
              <w:ind w:left="0"/>
            </w:pPr>
            <w:r>
              <w:t>2</w:t>
            </w:r>
            <w:r w:rsidR="001A7EB2">
              <w:t>0</w:t>
            </w:r>
          </w:p>
        </w:tc>
      </w:tr>
    </w:tbl>
    <w:p w:rsidR="00634B14" w:rsidRDefault="00634B14" w:rsidP="00634B14">
      <w:pPr>
        <w:pStyle w:val="Akapitzlist"/>
      </w:pPr>
    </w:p>
    <w:p w:rsidR="00634B14" w:rsidRDefault="001A7EB2" w:rsidP="00634B14">
      <w:pPr>
        <w:pStyle w:val="Akapitzlist"/>
        <w:numPr>
          <w:ilvl w:val="0"/>
          <w:numId w:val="18"/>
        </w:numPr>
      </w:pPr>
      <w:r>
        <w:t>Zamawiający dokona oceny ofert w oparciu o ww. kryteria, w systemie punktowym, według niżej opisanych zasad.</w:t>
      </w:r>
    </w:p>
    <w:p w:rsidR="007826B7" w:rsidRDefault="007826B7" w:rsidP="007826B7">
      <w:pPr>
        <w:pStyle w:val="Akapitzlist"/>
      </w:pPr>
    </w:p>
    <w:p w:rsidR="001A7EB2" w:rsidRPr="001A7EB2" w:rsidRDefault="001A7EB2" w:rsidP="001A7EB2">
      <w:pPr>
        <w:pStyle w:val="Akapitzlist"/>
        <w:numPr>
          <w:ilvl w:val="1"/>
          <w:numId w:val="18"/>
        </w:numPr>
        <w:spacing w:after="0" w:line="240" w:lineRule="auto"/>
        <w:jc w:val="both"/>
        <w:rPr>
          <w:rFonts w:cs="Tahoma"/>
        </w:rPr>
      </w:pPr>
      <w:r w:rsidRPr="009849DE">
        <w:rPr>
          <w:rFonts w:cs="Tahoma"/>
          <w:b/>
          <w:iCs/>
        </w:rPr>
        <w:t xml:space="preserve">Ocena punktowa w kryterium </w:t>
      </w:r>
      <w:r w:rsidR="00FB03B0" w:rsidRPr="009849DE">
        <w:rPr>
          <w:rFonts w:cs="Tahoma"/>
          <w:b/>
          <w:iCs/>
        </w:rPr>
        <w:t>„</w:t>
      </w:r>
      <w:r w:rsidRPr="009849DE">
        <w:rPr>
          <w:rFonts w:cs="Tahoma"/>
          <w:b/>
          <w:iCs/>
        </w:rPr>
        <w:t>cena</w:t>
      </w:r>
      <w:r w:rsidR="00FB03B0" w:rsidRPr="009849DE">
        <w:rPr>
          <w:rFonts w:cs="Tahoma"/>
          <w:b/>
          <w:iCs/>
        </w:rPr>
        <w:t>”</w:t>
      </w:r>
      <w:r w:rsidRPr="001A7EB2">
        <w:rPr>
          <w:rFonts w:cs="Tahoma"/>
          <w:iCs/>
        </w:rPr>
        <w:t xml:space="preserve"> zostanie dokonana przy zastosowaniu poniższego wzoru:</w:t>
      </w:r>
    </w:p>
    <w:p w:rsidR="001A7EB2" w:rsidRDefault="001A7EB2" w:rsidP="001A7EB2">
      <w:pPr>
        <w:tabs>
          <w:tab w:val="num" w:pos="360"/>
        </w:tabs>
        <w:jc w:val="center"/>
        <w:rPr>
          <w:rFonts w:cs="Tahoma"/>
          <w:b/>
          <w:bCs/>
        </w:rPr>
      </w:pPr>
      <w:r>
        <w:rPr>
          <w:rFonts w:cs="Tahoma"/>
          <w:b/>
          <w:bCs/>
        </w:rPr>
        <w:t>C</w:t>
      </w:r>
      <w:r w:rsidRPr="001A7EB2">
        <w:rPr>
          <w:rFonts w:cs="Tahoma"/>
          <w:b/>
          <w:bCs/>
        </w:rPr>
        <w:t xml:space="preserve"> = (C</w:t>
      </w:r>
      <w:r w:rsidRPr="001A7EB2">
        <w:rPr>
          <w:rFonts w:cs="Tahoma"/>
          <w:b/>
          <w:bCs/>
          <w:vertAlign w:val="subscript"/>
        </w:rPr>
        <w:t xml:space="preserve">min. </w:t>
      </w:r>
      <w:r w:rsidRPr="001A7EB2">
        <w:rPr>
          <w:rFonts w:cs="Tahoma"/>
          <w:b/>
          <w:bCs/>
        </w:rPr>
        <w:t>÷C</w:t>
      </w:r>
      <w:r w:rsidRPr="001A7EB2">
        <w:rPr>
          <w:rFonts w:cs="Tahoma"/>
          <w:b/>
          <w:bCs/>
          <w:vertAlign w:val="subscript"/>
        </w:rPr>
        <w:t>bad.</w:t>
      </w:r>
      <w:r w:rsidR="009849DE">
        <w:rPr>
          <w:rFonts w:cs="Tahoma"/>
          <w:b/>
          <w:bCs/>
        </w:rPr>
        <w:t>) × 5</w:t>
      </w:r>
      <w:r w:rsidRPr="001A7EB2">
        <w:rPr>
          <w:rFonts w:cs="Tahoma"/>
          <w:b/>
          <w:bCs/>
        </w:rPr>
        <w:t>0 pkt</w:t>
      </w:r>
    </w:p>
    <w:p w:rsidR="001A7EB2" w:rsidRPr="001A7EB2" w:rsidRDefault="001A7EB2" w:rsidP="001A7EB2">
      <w:pPr>
        <w:tabs>
          <w:tab w:val="num" w:pos="360"/>
        </w:tabs>
        <w:rPr>
          <w:rFonts w:cs="Tahoma"/>
          <w:b/>
          <w:bCs/>
        </w:rPr>
      </w:pPr>
      <w:r>
        <w:rPr>
          <w:rFonts w:cs="Tahoma"/>
          <w:b/>
          <w:bCs/>
        </w:rPr>
        <w:tab/>
      </w:r>
      <w:r>
        <w:rPr>
          <w:rFonts w:cs="Tahoma"/>
          <w:b/>
          <w:bCs/>
        </w:rPr>
        <w:tab/>
      </w:r>
      <w:r w:rsidRPr="001A7EB2">
        <w:rPr>
          <w:rFonts w:cs="Tahoma"/>
          <w:bCs/>
        </w:rPr>
        <w:t>Gdzie:</w:t>
      </w:r>
    </w:p>
    <w:p w:rsidR="001A7EB2" w:rsidRPr="001A7EB2" w:rsidRDefault="001A7EB2" w:rsidP="00FB03B0">
      <w:pPr>
        <w:tabs>
          <w:tab w:val="num" w:pos="360"/>
        </w:tabs>
        <w:spacing w:after="0"/>
        <w:ind w:left="900" w:firstLine="348"/>
        <w:rPr>
          <w:rFonts w:cs="Tahoma"/>
          <w:bCs/>
        </w:rPr>
      </w:pPr>
      <w:r w:rsidRPr="001A7EB2">
        <w:rPr>
          <w:rFonts w:cs="Tahoma"/>
          <w:bCs/>
        </w:rPr>
        <w:t>C – liczba punktów przyznana w kryterium „cena” badanej ofercie</w:t>
      </w:r>
    </w:p>
    <w:p w:rsidR="001A7EB2" w:rsidRPr="001A7EB2" w:rsidRDefault="001A7EB2" w:rsidP="00FB03B0">
      <w:pPr>
        <w:tabs>
          <w:tab w:val="num" w:pos="360"/>
        </w:tabs>
        <w:spacing w:after="0"/>
        <w:ind w:left="900" w:firstLine="348"/>
        <w:rPr>
          <w:rFonts w:cs="Tahoma"/>
          <w:bCs/>
        </w:rPr>
      </w:pPr>
      <w:r w:rsidRPr="001A7EB2">
        <w:rPr>
          <w:rFonts w:cs="Tahoma"/>
          <w:bCs/>
        </w:rPr>
        <w:t>C</w:t>
      </w:r>
      <w:r w:rsidRPr="001A7EB2">
        <w:rPr>
          <w:rFonts w:cs="Tahoma"/>
          <w:bCs/>
          <w:vertAlign w:val="subscript"/>
        </w:rPr>
        <w:t>min.</w:t>
      </w:r>
      <w:r w:rsidRPr="001A7EB2">
        <w:rPr>
          <w:rFonts w:cs="Tahoma"/>
          <w:bCs/>
        </w:rPr>
        <w:t xml:space="preserve"> – najniższa zaoferowana cena brutto</w:t>
      </w:r>
      <w:r w:rsidR="00726BDA">
        <w:rPr>
          <w:rFonts w:cs="Tahoma"/>
          <w:bCs/>
        </w:rPr>
        <w:t xml:space="preserve"> realizacji całości zamówienia</w:t>
      </w:r>
      <w:r w:rsidRPr="001A7EB2">
        <w:rPr>
          <w:rFonts w:cs="Tahoma"/>
          <w:bCs/>
        </w:rPr>
        <w:t>, spośród ofert niepodlegających odrzuceniu</w:t>
      </w:r>
    </w:p>
    <w:p w:rsidR="001A7EB2" w:rsidRPr="001A7EB2" w:rsidRDefault="001A7EB2" w:rsidP="00FB03B0">
      <w:pPr>
        <w:tabs>
          <w:tab w:val="num" w:pos="360"/>
        </w:tabs>
        <w:spacing w:after="0"/>
        <w:ind w:left="900" w:firstLine="348"/>
        <w:rPr>
          <w:rFonts w:cs="Tahoma"/>
          <w:bCs/>
        </w:rPr>
      </w:pPr>
      <w:r w:rsidRPr="001A7EB2">
        <w:rPr>
          <w:rFonts w:cs="Tahoma"/>
          <w:bCs/>
        </w:rPr>
        <w:t>C</w:t>
      </w:r>
      <w:r w:rsidRPr="001A7EB2">
        <w:rPr>
          <w:rFonts w:cs="Tahoma"/>
          <w:bCs/>
          <w:vertAlign w:val="subscript"/>
        </w:rPr>
        <w:t xml:space="preserve">bad. </w:t>
      </w:r>
      <w:r w:rsidRPr="001A7EB2">
        <w:rPr>
          <w:rFonts w:cs="Tahoma"/>
          <w:bCs/>
        </w:rPr>
        <w:t xml:space="preserve">– cena brutto </w:t>
      </w:r>
      <w:r w:rsidR="00726BDA">
        <w:rPr>
          <w:rFonts w:cs="Tahoma"/>
          <w:bCs/>
        </w:rPr>
        <w:t xml:space="preserve">realizacji całości zamówienia </w:t>
      </w:r>
      <w:r w:rsidRPr="001A7EB2">
        <w:rPr>
          <w:rFonts w:cs="Tahoma"/>
          <w:bCs/>
        </w:rPr>
        <w:t>oferty badanej</w:t>
      </w:r>
    </w:p>
    <w:p w:rsidR="00FB03B0" w:rsidRDefault="00FB03B0" w:rsidP="00FB03B0">
      <w:pPr>
        <w:tabs>
          <w:tab w:val="num" w:pos="1134"/>
        </w:tabs>
        <w:rPr>
          <w:rFonts w:cs="Tahoma"/>
          <w:bCs/>
        </w:rPr>
      </w:pPr>
    </w:p>
    <w:p w:rsidR="001A7EB2" w:rsidRPr="001A7EB2" w:rsidRDefault="001A7EB2" w:rsidP="00FB03B0">
      <w:pPr>
        <w:tabs>
          <w:tab w:val="num" w:pos="1134"/>
        </w:tabs>
        <w:ind w:left="709"/>
        <w:rPr>
          <w:rFonts w:cs="Tahoma"/>
          <w:bCs/>
        </w:rPr>
      </w:pPr>
      <w:r w:rsidRPr="001A7EB2">
        <w:rPr>
          <w:rFonts w:cs="Tahoma"/>
          <w:bCs/>
        </w:rPr>
        <w:t xml:space="preserve">Punkty w kryterium </w:t>
      </w:r>
      <w:r w:rsidR="00FB03B0">
        <w:rPr>
          <w:rFonts w:cs="Tahoma"/>
          <w:bCs/>
        </w:rPr>
        <w:t>„</w:t>
      </w:r>
      <w:r w:rsidRPr="001A7EB2">
        <w:rPr>
          <w:rFonts w:cs="Tahoma"/>
          <w:bCs/>
        </w:rPr>
        <w:t>cena</w:t>
      </w:r>
      <w:r w:rsidR="00FB03B0">
        <w:rPr>
          <w:rFonts w:cs="Tahoma"/>
          <w:bCs/>
        </w:rPr>
        <w:t>”</w:t>
      </w:r>
      <w:r w:rsidRPr="001A7EB2">
        <w:rPr>
          <w:rFonts w:cs="Tahoma"/>
          <w:bCs/>
        </w:rPr>
        <w:t xml:space="preserve"> będą wyliczone z dokładnością do dwóch miejsc po przecinku. </w:t>
      </w:r>
      <w:r w:rsidR="003F408E">
        <w:rPr>
          <w:rFonts w:cs="Tahoma"/>
          <w:bCs/>
        </w:rPr>
        <w:t>W kryterium tym oferta może uzyskać maksymalnie 60 punktów.</w:t>
      </w:r>
    </w:p>
    <w:p w:rsidR="001A7EB2" w:rsidRDefault="00FB03B0" w:rsidP="00FB03B0">
      <w:pPr>
        <w:pStyle w:val="Akapitzlist"/>
        <w:numPr>
          <w:ilvl w:val="1"/>
          <w:numId w:val="18"/>
        </w:numPr>
        <w:tabs>
          <w:tab w:val="num" w:pos="993"/>
        </w:tabs>
        <w:rPr>
          <w:rFonts w:cs="Tahoma"/>
          <w:bCs/>
        </w:rPr>
      </w:pPr>
      <w:r w:rsidRPr="009849DE">
        <w:rPr>
          <w:rFonts w:cs="Tahoma"/>
          <w:b/>
          <w:bCs/>
        </w:rPr>
        <w:t xml:space="preserve">Ocena punktowa w kryterium „doświadczenie wykonawcy” </w:t>
      </w:r>
      <w:r>
        <w:rPr>
          <w:rFonts w:cs="Tahoma"/>
          <w:bCs/>
        </w:rPr>
        <w:t>będzie dokonana przy zastosowaniu poniższych zasad:</w:t>
      </w:r>
    </w:p>
    <w:p w:rsidR="00FB03B0" w:rsidRDefault="00FB03B0" w:rsidP="00FB03B0">
      <w:pPr>
        <w:pStyle w:val="Akapitzlist"/>
        <w:rPr>
          <w:rFonts w:cs="Tahoma"/>
          <w:bCs/>
        </w:rPr>
      </w:pPr>
    </w:p>
    <w:p w:rsidR="00FB03B0" w:rsidRDefault="00FB03B0" w:rsidP="003608B3">
      <w:pPr>
        <w:pStyle w:val="Akapitzlist"/>
        <w:numPr>
          <w:ilvl w:val="2"/>
          <w:numId w:val="18"/>
        </w:numPr>
        <w:jc w:val="both"/>
        <w:rPr>
          <w:rFonts w:cs="Tahoma"/>
          <w:bCs/>
        </w:rPr>
      </w:pPr>
      <w:r>
        <w:rPr>
          <w:rFonts w:cs="Tahoma"/>
          <w:bCs/>
        </w:rPr>
        <w:t>Oferta otrzyma punkty w kryterium „doświadczenie wykonawcy”</w:t>
      </w:r>
      <w:r w:rsidR="003F408E">
        <w:rPr>
          <w:rFonts w:cs="Tahoma"/>
          <w:bCs/>
        </w:rPr>
        <w:t xml:space="preserve"> za doświadczenie </w:t>
      </w:r>
      <w:r w:rsidR="003F408E" w:rsidRPr="003F408E">
        <w:rPr>
          <w:rFonts w:cs="Tahoma"/>
          <w:b/>
          <w:bCs/>
          <w:u w:val="single"/>
        </w:rPr>
        <w:t>własne</w:t>
      </w:r>
      <w:r w:rsidR="003F408E">
        <w:rPr>
          <w:rFonts w:cs="Tahoma"/>
          <w:bCs/>
        </w:rPr>
        <w:t xml:space="preserve"> Wykonawcy w realizacji usług spełniających warunki:</w:t>
      </w:r>
    </w:p>
    <w:p w:rsidR="003F408E" w:rsidRDefault="003F408E" w:rsidP="003608B3">
      <w:pPr>
        <w:pStyle w:val="Akapitzlist"/>
        <w:numPr>
          <w:ilvl w:val="0"/>
          <w:numId w:val="20"/>
        </w:numPr>
        <w:jc w:val="both"/>
        <w:rPr>
          <w:rFonts w:cs="Tahoma"/>
          <w:bCs/>
        </w:rPr>
      </w:pPr>
      <w:r>
        <w:rPr>
          <w:rFonts w:cs="Tahoma"/>
          <w:bCs/>
        </w:rPr>
        <w:lastRenderedPageBreak/>
        <w:t>Przedmiot usługi: przygotowanie i przeprowadzenie bilansu kompetencji minimum 100 osób; 1 usługa = 1 umowa;</w:t>
      </w:r>
    </w:p>
    <w:p w:rsidR="003F408E" w:rsidRDefault="003F408E" w:rsidP="003608B3">
      <w:pPr>
        <w:pStyle w:val="Akapitzlist"/>
        <w:numPr>
          <w:ilvl w:val="0"/>
          <w:numId w:val="20"/>
        </w:numPr>
        <w:jc w:val="both"/>
        <w:rPr>
          <w:rFonts w:cs="Tahoma"/>
          <w:bCs/>
        </w:rPr>
      </w:pPr>
      <w:r>
        <w:rPr>
          <w:rFonts w:cs="Tahoma"/>
          <w:bCs/>
        </w:rPr>
        <w:t>Należyte wykonanie usługi zostało poświadczone załączonymi w ofercie referencjami lub innymi dokumentami wystawionymi (poświadczonymi) przez</w:t>
      </w:r>
      <w:r w:rsidR="000E789E">
        <w:rPr>
          <w:rFonts w:cs="Tahoma"/>
          <w:bCs/>
        </w:rPr>
        <w:t xml:space="preserve"> podmiot, na rzecz którego usługa była wykonana</w:t>
      </w:r>
      <w:r>
        <w:rPr>
          <w:rFonts w:cs="Tahoma"/>
          <w:bCs/>
        </w:rPr>
        <w:t>;</w:t>
      </w:r>
    </w:p>
    <w:p w:rsidR="003F408E" w:rsidRDefault="003F408E" w:rsidP="003608B3">
      <w:pPr>
        <w:pStyle w:val="Akapitzlist"/>
        <w:numPr>
          <w:ilvl w:val="0"/>
          <w:numId w:val="20"/>
        </w:numPr>
        <w:jc w:val="both"/>
        <w:rPr>
          <w:rFonts w:cs="Tahoma"/>
          <w:bCs/>
        </w:rPr>
      </w:pPr>
      <w:r>
        <w:rPr>
          <w:rFonts w:cs="Tahoma"/>
          <w:bCs/>
        </w:rPr>
        <w:t xml:space="preserve">Usługa była wykonana w ostatnich 5 latach przed upływem terminu składania ofert, a jeśli prowadzenie działalności jest krótsze – w </w:t>
      </w:r>
      <w:r w:rsidR="000E789E">
        <w:rPr>
          <w:rFonts w:cs="Tahoma"/>
          <w:bCs/>
        </w:rPr>
        <w:t xml:space="preserve">tym okresie, przy czym </w:t>
      </w:r>
      <w:r w:rsidR="007E15A7">
        <w:rPr>
          <w:rFonts w:cs="Tahoma"/>
          <w:bCs/>
        </w:rPr>
        <w:t>Zamawiający uwzględni umowy będące w trakcie realizacji, jeżeli wykonany zakres usługi spełnia wymagania określone w pkt 1</w:t>
      </w:r>
      <w:r w:rsidR="00431D3C">
        <w:rPr>
          <w:rFonts w:cs="Tahoma"/>
          <w:bCs/>
        </w:rPr>
        <w:t>)</w:t>
      </w:r>
      <w:r w:rsidR="007E15A7">
        <w:rPr>
          <w:rFonts w:cs="Tahoma"/>
          <w:bCs/>
        </w:rPr>
        <w:t xml:space="preserve"> i należyte zrealizowanie </w:t>
      </w:r>
      <w:r w:rsidR="00431D3C">
        <w:rPr>
          <w:rFonts w:cs="Tahoma"/>
          <w:bCs/>
        </w:rPr>
        <w:t>tego zakresu zostało poświadczone zgodnie z pkt 2).</w:t>
      </w:r>
    </w:p>
    <w:p w:rsidR="003F408E" w:rsidRDefault="00431D3C" w:rsidP="003608B3">
      <w:pPr>
        <w:pStyle w:val="Akapitzlist"/>
        <w:numPr>
          <w:ilvl w:val="2"/>
          <w:numId w:val="18"/>
        </w:numPr>
        <w:jc w:val="both"/>
        <w:rPr>
          <w:rFonts w:cs="Tahoma"/>
          <w:bCs/>
        </w:rPr>
      </w:pPr>
      <w:r>
        <w:rPr>
          <w:rFonts w:cs="Tahoma"/>
          <w:bCs/>
        </w:rPr>
        <w:t>Usługi określone w pkt 2.2.1. należy wyk</w:t>
      </w:r>
      <w:r w:rsidR="00BA637D">
        <w:rPr>
          <w:rFonts w:cs="Tahoma"/>
          <w:bCs/>
        </w:rPr>
        <w:t xml:space="preserve">azać w załączniku nr 4 do Ogłoszenia, </w:t>
      </w:r>
      <w:r>
        <w:rPr>
          <w:rFonts w:cs="Tahoma"/>
          <w:bCs/>
        </w:rPr>
        <w:t xml:space="preserve">załączonym do oferty. Za każdą usługę </w:t>
      </w:r>
      <w:r w:rsidR="003608B3">
        <w:rPr>
          <w:rFonts w:cs="Tahoma"/>
          <w:bCs/>
        </w:rPr>
        <w:t xml:space="preserve">udokumentowaną w sposób zgodny z zasadami określonymi w Rozdziale 4 pkt 1.5. i </w:t>
      </w:r>
      <w:r>
        <w:rPr>
          <w:rFonts w:cs="Tahoma"/>
          <w:bCs/>
        </w:rPr>
        <w:t>spełniającą wymagania określone w pkt 2.2.1. oferta otrzyma 5 pkt, jednak w sumie nie więcej niż 30 pkt.</w:t>
      </w:r>
    </w:p>
    <w:p w:rsidR="00431D3C" w:rsidRDefault="00431D3C" w:rsidP="003608B3">
      <w:pPr>
        <w:pStyle w:val="Akapitzlist"/>
        <w:numPr>
          <w:ilvl w:val="2"/>
          <w:numId w:val="18"/>
        </w:numPr>
        <w:jc w:val="both"/>
        <w:rPr>
          <w:rFonts w:cs="Tahoma"/>
          <w:bCs/>
        </w:rPr>
      </w:pPr>
      <w:r w:rsidRPr="007826B7">
        <w:rPr>
          <w:rFonts w:cs="Tahoma"/>
          <w:b/>
          <w:bCs/>
        </w:rPr>
        <w:t>Wykaz usług oraz poświadczenia należytego wykonania usługi dla potrzeb oceny oferty w kryterium „doświadczenie wykonawcy” nie podlegają uzupełnieniu</w:t>
      </w:r>
      <w:r w:rsidR="007826B7">
        <w:rPr>
          <w:rFonts w:cs="Tahoma"/>
          <w:b/>
          <w:bCs/>
        </w:rPr>
        <w:t xml:space="preserve">. </w:t>
      </w:r>
      <w:r>
        <w:rPr>
          <w:rFonts w:cs="Tahoma"/>
          <w:bCs/>
        </w:rPr>
        <w:t xml:space="preserve">Ocena następuje wyłącznie na podstawie dokumentów złożonych z ofertą. </w:t>
      </w:r>
    </w:p>
    <w:p w:rsidR="00431D3C" w:rsidRPr="00431D3C" w:rsidRDefault="00431D3C" w:rsidP="003608B3">
      <w:pPr>
        <w:pStyle w:val="Akapitzlist"/>
        <w:numPr>
          <w:ilvl w:val="2"/>
          <w:numId w:val="18"/>
        </w:numPr>
        <w:jc w:val="both"/>
        <w:rPr>
          <w:rFonts w:cs="Tahoma"/>
          <w:bCs/>
        </w:rPr>
      </w:pPr>
      <w:r>
        <w:rPr>
          <w:rFonts w:cs="Tahoma"/>
          <w:bCs/>
        </w:rPr>
        <w:t xml:space="preserve">W przypadku, gdy wykonawca w dokumentach złożonych z ofertą nie wykaże doświadczenia własnego  - żadnej usługi spełniającej wymagania określone w pkt 2.2.1. oferta w kryterium </w:t>
      </w:r>
      <w:r w:rsidR="009849DE">
        <w:rPr>
          <w:rFonts w:cs="Tahoma"/>
          <w:bCs/>
        </w:rPr>
        <w:t>„doświadczenie wykonawcy” otrzyma 0 pkt.</w:t>
      </w:r>
    </w:p>
    <w:p w:rsidR="009849DE" w:rsidRDefault="009849DE" w:rsidP="009849DE">
      <w:pPr>
        <w:pStyle w:val="Akapitzlist"/>
        <w:numPr>
          <w:ilvl w:val="1"/>
          <w:numId w:val="18"/>
        </w:numPr>
        <w:tabs>
          <w:tab w:val="num" w:pos="993"/>
        </w:tabs>
        <w:rPr>
          <w:rFonts w:cs="Tahoma"/>
          <w:bCs/>
        </w:rPr>
      </w:pPr>
      <w:r w:rsidRPr="009849DE">
        <w:rPr>
          <w:rFonts w:cs="Tahoma"/>
          <w:b/>
          <w:bCs/>
        </w:rPr>
        <w:t>Ocena punktowa w kryterium „</w:t>
      </w:r>
      <w:r>
        <w:rPr>
          <w:rFonts w:cs="Tahoma"/>
          <w:b/>
          <w:bCs/>
        </w:rPr>
        <w:t>narzędzia do realizacji diagnozy</w:t>
      </w:r>
      <w:r w:rsidRPr="009849DE">
        <w:rPr>
          <w:rFonts w:cs="Tahoma"/>
          <w:b/>
          <w:bCs/>
        </w:rPr>
        <w:t xml:space="preserve">” </w:t>
      </w:r>
      <w:r>
        <w:rPr>
          <w:rFonts w:cs="Tahoma"/>
          <w:bCs/>
        </w:rPr>
        <w:t>będzie dokonana przy zastosowaniu poniższych zasad:</w:t>
      </w:r>
    </w:p>
    <w:p w:rsidR="00726BDA" w:rsidRPr="00726BDA" w:rsidRDefault="009849DE" w:rsidP="00726BDA">
      <w:pPr>
        <w:pStyle w:val="Akapitzlist"/>
        <w:numPr>
          <w:ilvl w:val="2"/>
          <w:numId w:val="18"/>
        </w:numPr>
        <w:autoSpaceDE w:val="0"/>
        <w:autoSpaceDN w:val="0"/>
        <w:adjustRightInd w:val="0"/>
        <w:spacing w:after="0"/>
        <w:jc w:val="both"/>
        <w:rPr>
          <w:bCs/>
          <w:color w:val="000000"/>
        </w:rPr>
      </w:pPr>
      <w:r w:rsidRPr="00726BDA">
        <w:rPr>
          <w:rFonts w:cs="Tahoma"/>
          <w:bCs/>
        </w:rPr>
        <w:t xml:space="preserve">Oferta otrzyma punkty za zapewnienie stosowania w realizacji zamówienia – na każdym etapie (diagnozy/bilansu oraz opracowania i składania raportów) rozwiązań informatycznych – narzędzi IT umożliwiających bezpośredni dostęp Zamawiającego do </w:t>
      </w:r>
      <w:r w:rsidR="00726BDA" w:rsidRPr="00726BDA">
        <w:rPr>
          <w:bCs/>
          <w:color w:val="000000"/>
        </w:rPr>
        <w:t>wykonywanych przez Wykonawcę diagnoz/bilansów kompetencji/IPD w pełnym zakresie</w:t>
      </w:r>
      <w:r w:rsidR="00726BDA" w:rsidRPr="00C03BB6">
        <w:t>.</w:t>
      </w:r>
    </w:p>
    <w:p w:rsidR="00726BDA" w:rsidRPr="00726BDA" w:rsidRDefault="00726BDA" w:rsidP="00726BDA">
      <w:pPr>
        <w:pStyle w:val="Akapitzlist"/>
        <w:numPr>
          <w:ilvl w:val="2"/>
          <w:numId w:val="18"/>
        </w:numPr>
        <w:autoSpaceDE w:val="0"/>
        <w:autoSpaceDN w:val="0"/>
        <w:adjustRightInd w:val="0"/>
        <w:spacing w:after="0"/>
        <w:jc w:val="both"/>
        <w:rPr>
          <w:bCs/>
          <w:color w:val="000000"/>
        </w:rPr>
      </w:pPr>
      <w:r>
        <w:t>Punkty będą przyznawane w następujący sposób:</w:t>
      </w:r>
    </w:p>
    <w:p w:rsidR="00726BDA" w:rsidRPr="00C03BB6" w:rsidRDefault="00726BDA" w:rsidP="00726BDA">
      <w:pPr>
        <w:spacing w:after="0"/>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100"/>
      </w:tblGrid>
      <w:tr w:rsidR="00726BDA" w:rsidRPr="00C03BB6" w:rsidTr="00E1709C">
        <w:tc>
          <w:tcPr>
            <w:tcW w:w="8188" w:type="dxa"/>
            <w:shd w:val="clear" w:color="auto" w:fill="DEEAF6"/>
            <w:vAlign w:val="center"/>
          </w:tcPr>
          <w:p w:rsidR="00726BDA" w:rsidRPr="00C03BB6" w:rsidRDefault="00726BDA" w:rsidP="00E1709C">
            <w:pPr>
              <w:spacing w:after="0"/>
              <w:contextualSpacing/>
              <w:jc w:val="center"/>
              <w:rPr>
                <w:b/>
              </w:rPr>
            </w:pPr>
            <w:r w:rsidRPr="00C03BB6">
              <w:rPr>
                <w:b/>
              </w:rPr>
              <w:t>Opis funkcjonalności narzędzia</w:t>
            </w:r>
          </w:p>
        </w:tc>
        <w:tc>
          <w:tcPr>
            <w:tcW w:w="1100" w:type="dxa"/>
            <w:shd w:val="clear" w:color="auto" w:fill="DEEAF6"/>
            <w:vAlign w:val="center"/>
          </w:tcPr>
          <w:p w:rsidR="00726BDA" w:rsidRPr="00C03BB6" w:rsidRDefault="00726BDA" w:rsidP="00E1709C">
            <w:pPr>
              <w:spacing w:after="0"/>
              <w:contextualSpacing/>
              <w:jc w:val="center"/>
              <w:rPr>
                <w:b/>
              </w:rPr>
            </w:pPr>
            <w:r w:rsidRPr="00C03BB6">
              <w:rPr>
                <w:b/>
              </w:rPr>
              <w:t>Liczba punktów</w:t>
            </w:r>
          </w:p>
        </w:tc>
      </w:tr>
      <w:tr w:rsidR="00726BDA" w:rsidRPr="00C03BB6" w:rsidTr="00E1709C">
        <w:tc>
          <w:tcPr>
            <w:tcW w:w="8188" w:type="dxa"/>
            <w:shd w:val="clear" w:color="auto" w:fill="auto"/>
          </w:tcPr>
          <w:p w:rsidR="00726BDA" w:rsidRPr="00C03BB6" w:rsidRDefault="00726BDA" w:rsidP="00E1709C">
            <w:pPr>
              <w:spacing w:after="0"/>
              <w:contextualSpacing/>
              <w:jc w:val="both"/>
            </w:pPr>
            <w:r w:rsidRPr="00C03BB6">
              <w:t xml:space="preserve">Narzędzie posiada panel administracyjny umożliwiający zarządzanie badaniami dużej liczby uczestników (powyżej 700 osób), w tym tworzenia harmonogramów spotkań </w:t>
            </w:r>
            <w:r w:rsidRPr="00C03BB6">
              <w:br/>
              <w:t>z doradcami oraz generowania raportów z postępu prac</w:t>
            </w:r>
          </w:p>
        </w:tc>
        <w:tc>
          <w:tcPr>
            <w:tcW w:w="1100" w:type="dxa"/>
            <w:shd w:val="clear" w:color="auto" w:fill="auto"/>
            <w:vAlign w:val="center"/>
          </w:tcPr>
          <w:p w:rsidR="00726BDA" w:rsidRPr="00C03BB6" w:rsidRDefault="00726BDA" w:rsidP="00E1709C">
            <w:pPr>
              <w:spacing w:after="0"/>
              <w:contextualSpacing/>
              <w:jc w:val="center"/>
            </w:pPr>
            <w:r w:rsidRPr="00C03BB6">
              <w:t>2</w:t>
            </w:r>
          </w:p>
        </w:tc>
      </w:tr>
      <w:tr w:rsidR="00726BDA" w:rsidRPr="00C03BB6" w:rsidTr="00E1709C">
        <w:tc>
          <w:tcPr>
            <w:tcW w:w="8188" w:type="dxa"/>
            <w:shd w:val="clear" w:color="auto" w:fill="auto"/>
          </w:tcPr>
          <w:p w:rsidR="00726BDA" w:rsidRPr="00C03BB6" w:rsidRDefault="00726BDA" w:rsidP="00E1709C">
            <w:pPr>
              <w:spacing w:after="0"/>
              <w:contextualSpacing/>
              <w:jc w:val="both"/>
            </w:pPr>
            <w:r w:rsidRPr="00C03BB6">
              <w:t xml:space="preserve">Narzędzie ma funkcjonalność pozwalająca na tworzenie profilu kompetencyjnego uczestnika badania zawierającego poziom wykształcenia oraz doświadczenie zawodowe. </w:t>
            </w:r>
          </w:p>
        </w:tc>
        <w:tc>
          <w:tcPr>
            <w:tcW w:w="1100" w:type="dxa"/>
            <w:shd w:val="clear" w:color="auto" w:fill="auto"/>
            <w:vAlign w:val="center"/>
          </w:tcPr>
          <w:p w:rsidR="00726BDA" w:rsidRPr="00C03BB6" w:rsidRDefault="00726BDA" w:rsidP="00E1709C">
            <w:pPr>
              <w:spacing w:after="0"/>
              <w:contextualSpacing/>
              <w:jc w:val="center"/>
            </w:pPr>
            <w:r w:rsidRPr="00C03BB6">
              <w:t>2</w:t>
            </w:r>
          </w:p>
        </w:tc>
      </w:tr>
      <w:tr w:rsidR="00726BDA" w:rsidRPr="00C03BB6" w:rsidTr="00E1709C">
        <w:tc>
          <w:tcPr>
            <w:tcW w:w="8188" w:type="dxa"/>
            <w:shd w:val="clear" w:color="auto" w:fill="auto"/>
          </w:tcPr>
          <w:p w:rsidR="00726BDA" w:rsidRPr="00C03BB6" w:rsidRDefault="00726BDA" w:rsidP="00E1709C">
            <w:pPr>
              <w:spacing w:after="0"/>
              <w:contextualSpacing/>
              <w:jc w:val="both"/>
            </w:pPr>
            <w:r w:rsidRPr="00C03BB6">
              <w:t>Narzędzie ma  funkcjonalność polegającą na dodaniu dowolnej liczby diagnoz (wyników ankiet/testów/kwestionariuszy) kompetencyjnych przez doradców zawodowych.</w:t>
            </w:r>
          </w:p>
        </w:tc>
        <w:tc>
          <w:tcPr>
            <w:tcW w:w="1100" w:type="dxa"/>
            <w:shd w:val="clear" w:color="auto" w:fill="auto"/>
            <w:vAlign w:val="center"/>
          </w:tcPr>
          <w:p w:rsidR="00726BDA" w:rsidRPr="00C03BB6" w:rsidRDefault="00726BDA" w:rsidP="00E1709C">
            <w:pPr>
              <w:spacing w:after="0"/>
              <w:contextualSpacing/>
              <w:jc w:val="center"/>
            </w:pPr>
            <w:r w:rsidRPr="00C03BB6">
              <w:t>2</w:t>
            </w:r>
          </w:p>
        </w:tc>
      </w:tr>
      <w:tr w:rsidR="00726BDA" w:rsidRPr="00C03BB6" w:rsidTr="00E1709C">
        <w:tc>
          <w:tcPr>
            <w:tcW w:w="8188" w:type="dxa"/>
            <w:shd w:val="clear" w:color="auto" w:fill="auto"/>
          </w:tcPr>
          <w:p w:rsidR="00726BDA" w:rsidRPr="00C03BB6" w:rsidRDefault="00726BDA" w:rsidP="00E1709C">
            <w:pPr>
              <w:spacing w:after="0"/>
              <w:contextualSpacing/>
              <w:jc w:val="both"/>
            </w:pPr>
            <w:r w:rsidRPr="00C03BB6">
              <w:t>Narzędzie ma funkcjonalność polegającą na wygenerowaniu w dowolnym czasie raportu szczegółowego, obejmującego wyniki z opisem (szczegółowa interpretacja surowych wyników wraz ze wskazaniem mocnych stron i obszarów do rozwoju).</w:t>
            </w:r>
          </w:p>
        </w:tc>
        <w:tc>
          <w:tcPr>
            <w:tcW w:w="1100" w:type="dxa"/>
            <w:shd w:val="clear" w:color="auto" w:fill="auto"/>
            <w:vAlign w:val="center"/>
          </w:tcPr>
          <w:p w:rsidR="00726BDA" w:rsidRPr="00C03BB6" w:rsidRDefault="00726BDA" w:rsidP="00E1709C">
            <w:pPr>
              <w:spacing w:after="0"/>
              <w:contextualSpacing/>
              <w:jc w:val="center"/>
            </w:pPr>
            <w:r w:rsidRPr="00C03BB6">
              <w:t>10</w:t>
            </w:r>
          </w:p>
        </w:tc>
      </w:tr>
      <w:tr w:rsidR="00726BDA" w:rsidRPr="00C03BB6" w:rsidTr="00E1709C">
        <w:tc>
          <w:tcPr>
            <w:tcW w:w="8188" w:type="dxa"/>
            <w:shd w:val="clear" w:color="auto" w:fill="auto"/>
          </w:tcPr>
          <w:p w:rsidR="00726BDA" w:rsidRPr="00C03BB6" w:rsidRDefault="00726BDA" w:rsidP="00E1709C">
            <w:pPr>
              <w:spacing w:after="0"/>
              <w:contextualSpacing/>
              <w:jc w:val="both"/>
            </w:pPr>
            <w:r w:rsidRPr="00C03BB6">
              <w:lastRenderedPageBreak/>
              <w:t>Narzędziem umożliwia automatyczne przesyłania wyników diagnoz/ankiet/kwestionariuszy do studenta i koordynatora projektu (po przeprowadzonym badaniu i uzyskaniu wyniku).</w:t>
            </w:r>
          </w:p>
        </w:tc>
        <w:tc>
          <w:tcPr>
            <w:tcW w:w="1100" w:type="dxa"/>
            <w:shd w:val="clear" w:color="auto" w:fill="auto"/>
            <w:vAlign w:val="center"/>
          </w:tcPr>
          <w:p w:rsidR="00726BDA" w:rsidRPr="00C03BB6" w:rsidRDefault="00726BDA" w:rsidP="00E1709C">
            <w:pPr>
              <w:spacing w:after="0"/>
              <w:contextualSpacing/>
              <w:jc w:val="center"/>
            </w:pPr>
            <w:r w:rsidRPr="00C03BB6">
              <w:t>2</w:t>
            </w:r>
          </w:p>
        </w:tc>
      </w:tr>
      <w:tr w:rsidR="00726BDA" w:rsidRPr="00C03BB6" w:rsidTr="00E1709C">
        <w:tc>
          <w:tcPr>
            <w:tcW w:w="8188" w:type="dxa"/>
            <w:shd w:val="clear" w:color="auto" w:fill="auto"/>
          </w:tcPr>
          <w:p w:rsidR="00726BDA" w:rsidRPr="00C03BB6" w:rsidRDefault="00726BDA" w:rsidP="00E1709C">
            <w:pPr>
              <w:spacing w:after="160" w:line="259" w:lineRule="auto"/>
            </w:pPr>
            <w:r w:rsidRPr="00C03BB6">
              <w:t>Zapewniony jest mobilny  dostęp do narzędzia dla osób przeprowadzających Bilans kompetencji jak i studentów</w:t>
            </w:r>
          </w:p>
        </w:tc>
        <w:tc>
          <w:tcPr>
            <w:tcW w:w="1100" w:type="dxa"/>
            <w:shd w:val="clear" w:color="auto" w:fill="auto"/>
            <w:vAlign w:val="center"/>
          </w:tcPr>
          <w:p w:rsidR="00726BDA" w:rsidRPr="00C03BB6" w:rsidRDefault="00726BDA" w:rsidP="00E1709C">
            <w:pPr>
              <w:spacing w:after="0"/>
              <w:contextualSpacing/>
              <w:jc w:val="center"/>
            </w:pPr>
            <w:r w:rsidRPr="00C03BB6">
              <w:t>2</w:t>
            </w:r>
          </w:p>
        </w:tc>
      </w:tr>
    </w:tbl>
    <w:p w:rsidR="00726BDA" w:rsidRDefault="00726BDA" w:rsidP="00726BDA">
      <w:pPr>
        <w:spacing w:after="0"/>
        <w:contextualSpacing/>
        <w:jc w:val="both"/>
      </w:pPr>
    </w:p>
    <w:p w:rsidR="00726BDA" w:rsidRDefault="00726BDA" w:rsidP="00726BDA">
      <w:pPr>
        <w:spacing w:after="0"/>
        <w:ind w:firstLine="708"/>
        <w:contextualSpacing/>
        <w:jc w:val="both"/>
      </w:pPr>
      <w:r w:rsidRPr="00C03BB6">
        <w:t>W kryterium „</w:t>
      </w:r>
      <w:r w:rsidRPr="00C03BB6">
        <w:rPr>
          <w:b/>
        </w:rPr>
        <w:t>Narzędzia</w:t>
      </w:r>
      <w:r>
        <w:rPr>
          <w:b/>
          <w:bCs/>
          <w:color w:val="000000"/>
        </w:rPr>
        <w:t xml:space="preserve"> do realizacji diagnozy</w:t>
      </w:r>
      <w:r w:rsidRPr="00C03BB6">
        <w:t>” oferta może uzyskać do 20 punktów.</w:t>
      </w:r>
    </w:p>
    <w:p w:rsidR="00726BDA" w:rsidRDefault="00726BDA" w:rsidP="00726BDA">
      <w:pPr>
        <w:spacing w:after="0"/>
        <w:ind w:firstLine="708"/>
        <w:contextualSpacing/>
        <w:jc w:val="both"/>
      </w:pPr>
    </w:p>
    <w:p w:rsidR="00726BDA" w:rsidRPr="00C03BB6" w:rsidRDefault="00726BDA" w:rsidP="00726BDA">
      <w:pPr>
        <w:pStyle w:val="Akapitzlist"/>
        <w:numPr>
          <w:ilvl w:val="2"/>
          <w:numId w:val="18"/>
        </w:numPr>
        <w:spacing w:after="0"/>
        <w:jc w:val="both"/>
      </w:pPr>
      <w:r>
        <w:t>Punkty zostaną przyznane na podstawie zobowiązania wykonawcy zawartego w ofercie (formularzu oferty). Oferta nie podlega uzupełnianiu w tym zakresie. W przypadku, gdy Wykonawca nie zaoferuje realizacji zamówienia przy użyciu narzędzia IT posiadającego przynajmniej jedną z funkcjonalności wskazanych w pkt 2.3.2. oferta w kryterium „narzędzia do realizacji diagnozy otrzyma 0 pkt.</w:t>
      </w:r>
    </w:p>
    <w:p w:rsidR="00726BDA" w:rsidRPr="00C03BB6" w:rsidRDefault="00726BDA" w:rsidP="00726BDA">
      <w:pPr>
        <w:spacing w:after="160" w:line="259" w:lineRule="auto"/>
        <w:contextualSpacing/>
        <w:jc w:val="both"/>
      </w:pPr>
    </w:p>
    <w:p w:rsidR="00726BDA" w:rsidRPr="00726BDA" w:rsidRDefault="00726BDA" w:rsidP="00726BDA">
      <w:pPr>
        <w:pStyle w:val="Akapitzlist"/>
        <w:numPr>
          <w:ilvl w:val="1"/>
          <w:numId w:val="18"/>
        </w:numPr>
        <w:autoSpaceDE w:val="0"/>
        <w:autoSpaceDN w:val="0"/>
        <w:adjustRightInd w:val="0"/>
        <w:spacing w:after="0" w:line="259" w:lineRule="auto"/>
        <w:jc w:val="both"/>
        <w:rPr>
          <w:b/>
        </w:rPr>
      </w:pPr>
      <w:r w:rsidRPr="00726BDA">
        <w:rPr>
          <w:b/>
          <w:color w:val="000000"/>
        </w:rPr>
        <w:t>Łączna liczba punktów przyznanych każdej z ocenianych ofert</w:t>
      </w:r>
      <w:r>
        <w:rPr>
          <w:color w:val="000000"/>
        </w:rPr>
        <w:t xml:space="preserve"> obliczona zostanie wg </w:t>
      </w:r>
      <w:r w:rsidRPr="00726BDA">
        <w:rPr>
          <w:color w:val="000000"/>
        </w:rPr>
        <w:t xml:space="preserve">wzoru: </w:t>
      </w:r>
      <w:r w:rsidRPr="00726BDA">
        <w:rPr>
          <w:color w:val="000000"/>
        </w:rPr>
        <w:br/>
      </w:r>
      <w:r>
        <w:rPr>
          <w:b/>
        </w:rPr>
        <w:t>LP = C + D</w:t>
      </w:r>
      <w:r w:rsidRPr="00726BDA">
        <w:rPr>
          <w:b/>
        </w:rPr>
        <w:t xml:space="preserve"> + N</w:t>
      </w:r>
    </w:p>
    <w:p w:rsidR="00B92CE5" w:rsidRDefault="00B92CE5" w:rsidP="00726BDA">
      <w:pPr>
        <w:spacing w:after="0"/>
        <w:ind w:firstLine="567"/>
      </w:pPr>
    </w:p>
    <w:p w:rsidR="00726BDA" w:rsidRPr="00C03BB6" w:rsidRDefault="00726BDA" w:rsidP="00726BDA">
      <w:pPr>
        <w:spacing w:after="0"/>
        <w:ind w:firstLine="567"/>
      </w:pPr>
      <w:r w:rsidRPr="00C03BB6">
        <w:t xml:space="preserve">gdzie: </w:t>
      </w:r>
    </w:p>
    <w:p w:rsidR="00726BDA" w:rsidRPr="00C03BB6" w:rsidRDefault="00726BDA" w:rsidP="00726BDA">
      <w:pPr>
        <w:spacing w:after="0"/>
        <w:ind w:left="1095" w:hanging="386"/>
        <w:rPr>
          <w:sz w:val="20"/>
          <w:szCs w:val="20"/>
        </w:rPr>
      </w:pPr>
      <w:r w:rsidRPr="00C03BB6">
        <w:rPr>
          <w:sz w:val="20"/>
          <w:szCs w:val="20"/>
        </w:rPr>
        <w:t xml:space="preserve">LP – łączna liczba punktów przyznanych ofercie </w:t>
      </w:r>
    </w:p>
    <w:p w:rsidR="00726BDA" w:rsidRPr="00C03BB6" w:rsidRDefault="00726BDA" w:rsidP="00726BDA">
      <w:pPr>
        <w:spacing w:after="0"/>
        <w:ind w:left="1095" w:right="-426" w:hanging="386"/>
        <w:rPr>
          <w:sz w:val="20"/>
          <w:szCs w:val="20"/>
        </w:rPr>
      </w:pPr>
      <w:r w:rsidRPr="00C03BB6">
        <w:rPr>
          <w:sz w:val="20"/>
          <w:szCs w:val="20"/>
        </w:rPr>
        <w:t xml:space="preserve">C – liczba punktów przyznanych ofercie w kryterium „Cena </w:t>
      </w:r>
      <w:r w:rsidRPr="00C03BB6">
        <w:rPr>
          <w:bCs/>
          <w:color w:val="000000"/>
          <w:sz w:val="20"/>
          <w:szCs w:val="20"/>
        </w:rPr>
        <w:t>oferty brutto za całość przedmiotu zamówienia</w:t>
      </w:r>
      <w:r w:rsidRPr="00C03BB6">
        <w:rPr>
          <w:sz w:val="20"/>
          <w:szCs w:val="20"/>
        </w:rPr>
        <w:t xml:space="preserve">” </w:t>
      </w:r>
    </w:p>
    <w:p w:rsidR="00726BDA" w:rsidRPr="00C03BB6" w:rsidRDefault="00726BDA" w:rsidP="00726BDA">
      <w:pPr>
        <w:spacing w:after="0"/>
        <w:ind w:left="1095" w:hanging="386"/>
        <w:rPr>
          <w:sz w:val="20"/>
          <w:szCs w:val="20"/>
        </w:rPr>
      </w:pPr>
      <w:r w:rsidRPr="00C03BB6">
        <w:rPr>
          <w:sz w:val="20"/>
          <w:szCs w:val="20"/>
        </w:rPr>
        <w:t>D – liczba punktów przyznanych ofercie w kryterium „</w:t>
      </w:r>
      <w:r w:rsidRPr="00C03BB6">
        <w:rPr>
          <w:bCs/>
          <w:color w:val="000000"/>
          <w:sz w:val="20"/>
          <w:szCs w:val="20"/>
        </w:rPr>
        <w:t>D</w:t>
      </w:r>
      <w:r>
        <w:rPr>
          <w:bCs/>
          <w:color w:val="000000"/>
          <w:sz w:val="20"/>
          <w:szCs w:val="20"/>
        </w:rPr>
        <w:t>oświadczenie wykonawcy</w:t>
      </w:r>
      <w:r w:rsidRPr="00C03BB6">
        <w:rPr>
          <w:sz w:val="20"/>
          <w:szCs w:val="20"/>
        </w:rPr>
        <w:t>”;</w:t>
      </w:r>
    </w:p>
    <w:p w:rsidR="00726BDA" w:rsidRDefault="00726BDA" w:rsidP="00726BDA">
      <w:pPr>
        <w:spacing w:after="0"/>
        <w:ind w:left="1095" w:hanging="386"/>
        <w:rPr>
          <w:sz w:val="20"/>
          <w:szCs w:val="20"/>
        </w:rPr>
      </w:pPr>
      <w:r w:rsidRPr="00C03BB6">
        <w:rPr>
          <w:sz w:val="20"/>
          <w:szCs w:val="20"/>
        </w:rPr>
        <w:t>N – liczba punktów przyznanych ofercie w kryterium „Narzędzia</w:t>
      </w:r>
      <w:r>
        <w:rPr>
          <w:bCs/>
          <w:sz w:val="20"/>
          <w:szCs w:val="20"/>
        </w:rPr>
        <w:t xml:space="preserve"> do realizacji diagnozy </w:t>
      </w:r>
      <w:r w:rsidRPr="00C03BB6">
        <w:rPr>
          <w:sz w:val="20"/>
          <w:szCs w:val="20"/>
        </w:rPr>
        <w:t>”;</w:t>
      </w:r>
    </w:p>
    <w:p w:rsidR="000867B4" w:rsidRPr="00C03BB6" w:rsidRDefault="000867B4" w:rsidP="00726BDA">
      <w:pPr>
        <w:spacing w:after="0"/>
        <w:ind w:left="1095" w:hanging="386"/>
        <w:rPr>
          <w:sz w:val="20"/>
          <w:szCs w:val="20"/>
        </w:rPr>
      </w:pPr>
    </w:p>
    <w:p w:rsidR="00726BDA" w:rsidRPr="000867B4" w:rsidRDefault="000867B4" w:rsidP="00726BDA">
      <w:pPr>
        <w:autoSpaceDE w:val="0"/>
        <w:autoSpaceDN w:val="0"/>
        <w:adjustRightInd w:val="0"/>
        <w:spacing w:after="0" w:line="259" w:lineRule="auto"/>
        <w:contextualSpacing/>
        <w:jc w:val="both"/>
        <w:rPr>
          <w:b/>
          <w:sz w:val="20"/>
          <w:szCs w:val="20"/>
        </w:rPr>
      </w:pPr>
      <w:r w:rsidRPr="000867B4">
        <w:rPr>
          <w:b/>
          <w:sz w:val="20"/>
          <w:szCs w:val="20"/>
        </w:rPr>
        <w:t>Rozdział 11. Wybór oferty</w:t>
      </w:r>
    </w:p>
    <w:p w:rsidR="000867B4" w:rsidRDefault="000867B4" w:rsidP="00726BDA">
      <w:pPr>
        <w:autoSpaceDE w:val="0"/>
        <w:autoSpaceDN w:val="0"/>
        <w:adjustRightInd w:val="0"/>
        <w:spacing w:after="0" w:line="259" w:lineRule="auto"/>
        <w:contextualSpacing/>
        <w:jc w:val="both"/>
        <w:rPr>
          <w:sz w:val="20"/>
          <w:szCs w:val="20"/>
        </w:rPr>
      </w:pPr>
    </w:p>
    <w:p w:rsidR="000867B4" w:rsidRPr="000867B4" w:rsidRDefault="000867B4" w:rsidP="000867B4">
      <w:pPr>
        <w:pStyle w:val="Akapitzlist"/>
        <w:numPr>
          <w:ilvl w:val="0"/>
          <w:numId w:val="21"/>
        </w:numPr>
        <w:autoSpaceDE w:val="0"/>
        <w:autoSpaceDN w:val="0"/>
        <w:adjustRightInd w:val="0"/>
        <w:spacing w:after="0" w:line="259" w:lineRule="auto"/>
        <w:jc w:val="both"/>
        <w:rPr>
          <w:u w:val="single"/>
        </w:rPr>
      </w:pPr>
      <w:r>
        <w:t xml:space="preserve">Zamawiający wybierze ofertę najkorzystniejszą. </w:t>
      </w:r>
      <w:r w:rsidR="00726BDA" w:rsidRPr="00C03BB6">
        <w:t>Jako najkorzystniejsza zostanie wybrana oferta</w:t>
      </w:r>
      <w:r w:rsidR="00A601CC">
        <w:t xml:space="preserve"> złożona przez Wykonawcę niepodlegającego wykluczeniu</w:t>
      </w:r>
      <w:r w:rsidR="00726BDA" w:rsidRPr="00C03BB6">
        <w:t>, która będzie przedstawiała najkorzystniejszy bilans</w:t>
      </w:r>
      <w:r w:rsidR="00726BDA">
        <w:t xml:space="preserve"> ceny i pozostałych kryt</w:t>
      </w:r>
      <w:r>
        <w:t>eriów wyboru oferty</w:t>
      </w:r>
      <w:r w:rsidR="00726BDA" w:rsidRPr="00C03BB6">
        <w:t xml:space="preserve">, </w:t>
      </w:r>
      <w:r w:rsidR="00726BDA" w:rsidRPr="000867B4">
        <w:rPr>
          <w:u w:val="single"/>
        </w:rPr>
        <w:t>tzn. uzyska na</w:t>
      </w:r>
      <w:r w:rsidR="00A601CC">
        <w:rPr>
          <w:u w:val="single"/>
        </w:rPr>
        <w:t>jwiększą łączną liczbę punktów .</w:t>
      </w:r>
    </w:p>
    <w:p w:rsidR="00726BDA" w:rsidRPr="000867B4" w:rsidRDefault="00726BDA" w:rsidP="000867B4">
      <w:pPr>
        <w:pStyle w:val="Akapitzlist"/>
        <w:numPr>
          <w:ilvl w:val="0"/>
          <w:numId w:val="21"/>
        </w:numPr>
        <w:autoSpaceDE w:val="0"/>
        <w:autoSpaceDN w:val="0"/>
        <w:adjustRightInd w:val="0"/>
        <w:spacing w:after="0" w:line="259" w:lineRule="auto"/>
        <w:jc w:val="both"/>
        <w:rPr>
          <w:u w:val="single"/>
        </w:rPr>
      </w:pPr>
      <w:r w:rsidRPr="00C03BB6">
        <w:t>Jeżeli nie będzie można dokonać wyboru oferty najkorzystniejszej ze względu na to, że dwie lub więcej ofert przedstaw</w:t>
      </w:r>
      <w:r w:rsidR="000867B4">
        <w:t>ia taki sam bilans ceny i pozostałych</w:t>
      </w:r>
      <w:r w:rsidRPr="00C03BB6">
        <w:t xml:space="preserve"> kryteriów oceny ofert, Zamawiający spośród tych ofert wybierze ofertę z niższą ceną, a jeżeli zostały złożone oferty o takiej samej cenie, Zamawiający wezwie Wykonawców, którzy złożyli te oferty do złożenia, w terminie określonym przez Zamawiającego, ofert dodatkowych.</w:t>
      </w:r>
    </w:p>
    <w:p w:rsidR="000867B4" w:rsidRPr="000867B4" w:rsidRDefault="000867B4" w:rsidP="000867B4">
      <w:pPr>
        <w:pStyle w:val="Akapitzlist"/>
        <w:numPr>
          <w:ilvl w:val="0"/>
          <w:numId w:val="21"/>
        </w:numPr>
        <w:autoSpaceDE w:val="0"/>
        <w:autoSpaceDN w:val="0"/>
        <w:adjustRightInd w:val="0"/>
        <w:spacing w:after="0" w:line="259" w:lineRule="auto"/>
        <w:jc w:val="both"/>
        <w:rPr>
          <w:u w:val="single"/>
        </w:rPr>
      </w:pPr>
      <w:r>
        <w:t>O wyborze oferty Zamawiający poinformuje pocztą elektroniczną Wykonawców, którzy złożyli oferty w postępowaniu podając:</w:t>
      </w:r>
    </w:p>
    <w:p w:rsidR="000867B4" w:rsidRPr="000867B4" w:rsidRDefault="000867B4" w:rsidP="000867B4">
      <w:pPr>
        <w:pStyle w:val="Akapitzlist"/>
        <w:numPr>
          <w:ilvl w:val="0"/>
          <w:numId w:val="22"/>
        </w:numPr>
        <w:autoSpaceDE w:val="0"/>
        <w:autoSpaceDN w:val="0"/>
        <w:adjustRightInd w:val="0"/>
        <w:spacing w:after="0" w:line="259" w:lineRule="auto"/>
        <w:jc w:val="both"/>
        <w:rPr>
          <w:u w:val="single"/>
        </w:rPr>
      </w:pPr>
      <w:r>
        <w:t>Nazwę, imię i nazwisko, adres Wykonawców, którzy złożyli oferty ze wskazaniem Wykonawcy, którego oferta została wybrana;</w:t>
      </w:r>
    </w:p>
    <w:p w:rsidR="000867B4" w:rsidRPr="000867B4" w:rsidRDefault="000867B4" w:rsidP="000867B4">
      <w:pPr>
        <w:pStyle w:val="Akapitzlist"/>
        <w:numPr>
          <w:ilvl w:val="0"/>
          <w:numId w:val="22"/>
        </w:numPr>
        <w:autoSpaceDE w:val="0"/>
        <w:autoSpaceDN w:val="0"/>
        <w:adjustRightInd w:val="0"/>
        <w:spacing w:after="0" w:line="259" w:lineRule="auto"/>
        <w:jc w:val="both"/>
        <w:rPr>
          <w:u w:val="single"/>
        </w:rPr>
      </w:pPr>
      <w:r>
        <w:t>Punktację przyznaną ofertom w poszczególnych kryteriach wraz z punktacją łączną;</w:t>
      </w:r>
    </w:p>
    <w:p w:rsidR="000867B4" w:rsidRPr="00E11A1B" w:rsidRDefault="000867B4" w:rsidP="000867B4">
      <w:pPr>
        <w:pStyle w:val="Akapitzlist"/>
        <w:numPr>
          <w:ilvl w:val="0"/>
          <w:numId w:val="22"/>
        </w:numPr>
        <w:autoSpaceDE w:val="0"/>
        <w:autoSpaceDN w:val="0"/>
        <w:adjustRightInd w:val="0"/>
        <w:spacing w:after="0" w:line="259" w:lineRule="auto"/>
        <w:jc w:val="both"/>
        <w:rPr>
          <w:u w:val="single"/>
        </w:rPr>
      </w:pPr>
      <w:r>
        <w:t>Informację o wykonawcach, których oferty zostały odrzucone, ze</w:t>
      </w:r>
      <w:r w:rsidR="00E11A1B">
        <w:t xml:space="preserve"> wskazaniem podstawy odrzucenia.</w:t>
      </w:r>
    </w:p>
    <w:p w:rsidR="00E11A1B" w:rsidRDefault="00E11A1B" w:rsidP="00E11A1B">
      <w:pPr>
        <w:pStyle w:val="Akapitzlist"/>
        <w:numPr>
          <w:ilvl w:val="0"/>
          <w:numId w:val="21"/>
        </w:numPr>
        <w:autoSpaceDE w:val="0"/>
        <w:autoSpaceDN w:val="0"/>
        <w:adjustRightInd w:val="0"/>
        <w:spacing w:after="0" w:line="259" w:lineRule="auto"/>
        <w:jc w:val="both"/>
      </w:pPr>
      <w:r>
        <w:lastRenderedPageBreak/>
        <w:t>Informację,</w:t>
      </w:r>
      <w:r w:rsidRPr="00E11A1B">
        <w:t xml:space="preserve"> o której mowa </w:t>
      </w:r>
      <w:r>
        <w:t xml:space="preserve">w pkt 3 Zamawiający zamieści także na swojej stronie internetowej BIP. </w:t>
      </w:r>
    </w:p>
    <w:p w:rsidR="00A601CC" w:rsidRDefault="00A601CC" w:rsidP="00E11A1B">
      <w:pPr>
        <w:pStyle w:val="Akapitzlist"/>
        <w:numPr>
          <w:ilvl w:val="0"/>
          <w:numId w:val="21"/>
        </w:numPr>
        <w:autoSpaceDE w:val="0"/>
        <w:autoSpaceDN w:val="0"/>
        <w:adjustRightInd w:val="0"/>
        <w:spacing w:after="0" w:line="259" w:lineRule="auto"/>
        <w:jc w:val="both"/>
      </w:pPr>
      <w:r>
        <w:t xml:space="preserve">W przypadku, gdy Wykonawca, </w:t>
      </w:r>
      <w:r w:rsidR="006F2D0B">
        <w:t xml:space="preserve">którego oferta została wybrana </w:t>
      </w:r>
      <w:r>
        <w:t xml:space="preserve">uchyla się od zawarcia umowy, Zamawiający może </w:t>
      </w:r>
      <w:r w:rsidR="006F2D0B">
        <w:t xml:space="preserve">wybrać ofertę najkorzystniejszą </w:t>
      </w:r>
      <w:r>
        <w:t>spośród pozosta</w:t>
      </w:r>
      <w:r w:rsidR="006F2D0B">
        <w:t xml:space="preserve">łych ofert bez ponownej ich oceny, chyba </w:t>
      </w:r>
      <w:r w:rsidR="00663A8D">
        <w:t>ż</w:t>
      </w:r>
      <w:r w:rsidR="009E6367">
        <w:t>e zachodzą przesłanki nieudzielenia zamówienia, o których mowa w Rozdziale 13</w:t>
      </w:r>
      <w:r w:rsidR="006F2D0B">
        <w:t>.</w:t>
      </w:r>
    </w:p>
    <w:p w:rsidR="006F2D0B" w:rsidRDefault="006F2D0B" w:rsidP="006F2D0B">
      <w:pPr>
        <w:autoSpaceDE w:val="0"/>
        <w:autoSpaceDN w:val="0"/>
        <w:adjustRightInd w:val="0"/>
        <w:spacing w:after="0" w:line="259" w:lineRule="auto"/>
        <w:ind w:left="360"/>
        <w:jc w:val="both"/>
      </w:pPr>
    </w:p>
    <w:p w:rsidR="006F2D0B" w:rsidRPr="00663A8D" w:rsidRDefault="006F2D0B" w:rsidP="006F2D0B">
      <w:pPr>
        <w:autoSpaceDE w:val="0"/>
        <w:autoSpaceDN w:val="0"/>
        <w:adjustRightInd w:val="0"/>
        <w:spacing w:after="0" w:line="259" w:lineRule="auto"/>
        <w:ind w:left="360"/>
        <w:jc w:val="both"/>
        <w:rPr>
          <w:b/>
        </w:rPr>
      </w:pPr>
      <w:r w:rsidRPr="00663A8D">
        <w:rPr>
          <w:b/>
        </w:rPr>
        <w:t>Rozdział 12. Udzielenie zamówienia</w:t>
      </w:r>
    </w:p>
    <w:p w:rsidR="006F2D0B" w:rsidRDefault="006F2D0B" w:rsidP="006F2D0B">
      <w:pPr>
        <w:autoSpaceDE w:val="0"/>
        <w:autoSpaceDN w:val="0"/>
        <w:adjustRightInd w:val="0"/>
        <w:spacing w:after="0" w:line="259" w:lineRule="auto"/>
        <w:ind w:left="360"/>
        <w:jc w:val="both"/>
      </w:pPr>
    </w:p>
    <w:p w:rsidR="00D16867" w:rsidRDefault="006F2D0B" w:rsidP="00D16867">
      <w:pPr>
        <w:numPr>
          <w:ilvl w:val="0"/>
          <w:numId w:val="40"/>
        </w:numPr>
        <w:spacing w:after="0"/>
        <w:jc w:val="both"/>
        <w:rPr>
          <w:rFonts w:ascii="Calibri" w:hAnsi="Calibri" w:cs="Calibri"/>
        </w:rPr>
      </w:pPr>
      <w:r w:rsidRPr="003F388E">
        <w:rPr>
          <w:rFonts w:ascii="Calibri" w:hAnsi="Calibri" w:cs="Calibri"/>
        </w:rPr>
        <w:t>Zamawiający zawrze umowę z Wykonawcą, którego oferta zostanie wybrana</w:t>
      </w:r>
      <w:r w:rsidR="00D16867">
        <w:rPr>
          <w:rFonts w:ascii="Calibri" w:hAnsi="Calibri" w:cs="Calibri"/>
        </w:rPr>
        <w:t xml:space="preserve"> jako najkorzystniejsza.</w:t>
      </w:r>
    </w:p>
    <w:p w:rsidR="00D16867" w:rsidRPr="007F4753" w:rsidRDefault="00D16867" w:rsidP="00D16867">
      <w:pPr>
        <w:numPr>
          <w:ilvl w:val="0"/>
          <w:numId w:val="40"/>
        </w:numPr>
        <w:spacing w:after="0"/>
        <w:jc w:val="both"/>
        <w:rPr>
          <w:rFonts w:ascii="Calibri" w:hAnsi="Calibri" w:cs="Calibri"/>
          <w:u w:val="single"/>
        </w:rPr>
      </w:pPr>
      <w:r>
        <w:rPr>
          <w:rFonts w:ascii="Calibri" w:hAnsi="Calibri" w:cs="Calibri"/>
        </w:rPr>
        <w:t>Umowa zostanie podpisana zgodnie z wzo</w:t>
      </w:r>
      <w:r w:rsidR="00B15CFC">
        <w:rPr>
          <w:rFonts w:ascii="Calibri" w:hAnsi="Calibri" w:cs="Calibri"/>
        </w:rPr>
        <w:t>rem stanowiącym załącznik nr 7</w:t>
      </w:r>
      <w:r w:rsidR="007F4753">
        <w:rPr>
          <w:rFonts w:ascii="Calibri" w:hAnsi="Calibri" w:cs="Calibri"/>
        </w:rPr>
        <w:t xml:space="preserve"> do Ogłoszenia, z tym że </w:t>
      </w:r>
      <w:r w:rsidR="007F4753" w:rsidRPr="007F4753">
        <w:rPr>
          <w:rFonts w:ascii="Calibri" w:hAnsi="Calibri" w:cs="Calibri"/>
          <w:u w:val="single"/>
        </w:rPr>
        <w:t>warunkiem podpisania umowy będzie uprzednie podpisanie przez Wykonawcę umowy powierzenia przetwarzania danych osobowych zgodnie z wzorem stanowiącym załącznik nr 8 do Ogłoszenia.</w:t>
      </w:r>
    </w:p>
    <w:p w:rsidR="006F2D0B" w:rsidRDefault="006F2D0B" w:rsidP="00D16867">
      <w:pPr>
        <w:numPr>
          <w:ilvl w:val="0"/>
          <w:numId w:val="40"/>
        </w:numPr>
        <w:spacing w:after="0"/>
        <w:jc w:val="both"/>
        <w:rPr>
          <w:rFonts w:ascii="Calibri" w:hAnsi="Calibri" w:cs="Calibri"/>
        </w:rPr>
      </w:pPr>
      <w:r w:rsidRPr="003F388E">
        <w:rPr>
          <w:rFonts w:ascii="Calibri" w:hAnsi="Calibri" w:cs="Calibri"/>
        </w:rPr>
        <w:t xml:space="preserve">Termin zawarcia umowy z Wykonawcą którego oferta została wybrana, Zamawiający wyznaczy w powiadomieniu </w:t>
      </w:r>
      <w:r>
        <w:rPr>
          <w:rFonts w:ascii="Calibri" w:hAnsi="Calibri" w:cs="Calibri"/>
        </w:rPr>
        <w:t>o wyborze oferty.</w:t>
      </w:r>
    </w:p>
    <w:p w:rsidR="006F2D0B" w:rsidRPr="00C83DE3" w:rsidRDefault="006F2D0B" w:rsidP="00D16867">
      <w:pPr>
        <w:numPr>
          <w:ilvl w:val="0"/>
          <w:numId w:val="40"/>
        </w:numPr>
        <w:spacing w:after="0"/>
        <w:jc w:val="both"/>
        <w:rPr>
          <w:rFonts w:ascii="Calibri" w:hAnsi="Calibri" w:cs="Calibri"/>
        </w:rPr>
      </w:pPr>
      <w:r w:rsidRPr="003F388E">
        <w:rPr>
          <w:rFonts w:ascii="Calibri" w:hAnsi="Calibri" w:cs="Calibri"/>
        </w:rPr>
        <w:t>Umowa zostanie zawarta w siedzibie Zamawiającego. W przypadku, gdy Wykonawca nie będzie miał możliwości osobistego stawiennictwa w siedzibie Zamawiającego Wykonawca zobowiązany jest najpóźniej w dniu wyznaczonym na dzień podpisania umowy d</w:t>
      </w:r>
      <w:r w:rsidRPr="00C83DE3">
        <w:rPr>
          <w:rFonts w:ascii="Calibri" w:hAnsi="Calibri" w:cs="Calibri"/>
        </w:rPr>
        <w:t>oręczyć do siedziby Zamawiającego 2 egzemplarze podpisanej przez siebie umowy.</w:t>
      </w:r>
    </w:p>
    <w:p w:rsidR="00D16867" w:rsidRDefault="00D16867" w:rsidP="00D16867">
      <w:pPr>
        <w:numPr>
          <w:ilvl w:val="0"/>
          <w:numId w:val="40"/>
        </w:numPr>
        <w:spacing w:after="0"/>
        <w:jc w:val="both"/>
        <w:rPr>
          <w:rFonts w:ascii="Calibri" w:hAnsi="Calibri" w:cs="Calibri"/>
        </w:rPr>
      </w:pPr>
      <w:r>
        <w:rPr>
          <w:rFonts w:ascii="Calibri" w:hAnsi="Calibri" w:cs="Calibri"/>
        </w:rPr>
        <w:t>Osoby reprezentujące Wykonawcę przy podpisywaniu umowy winny posiadać ze sobą dokumenty potwierdzające ich umocowanie do reprezentowania Wykonawcy, chyba ze umocowanie to wynika z dokumentów załączonych do oferty.</w:t>
      </w:r>
    </w:p>
    <w:p w:rsidR="006F2D0B" w:rsidRPr="00B15CFC" w:rsidRDefault="00D16867" w:rsidP="00D16867">
      <w:pPr>
        <w:numPr>
          <w:ilvl w:val="0"/>
          <w:numId w:val="40"/>
        </w:numPr>
        <w:spacing w:after="0"/>
        <w:jc w:val="both"/>
        <w:rPr>
          <w:rFonts w:ascii="Calibri" w:hAnsi="Calibri" w:cs="Calibri"/>
        </w:rPr>
      </w:pPr>
      <w:r w:rsidRPr="00B15CFC">
        <w:rPr>
          <w:rFonts w:ascii="Calibri" w:hAnsi="Calibri" w:cs="Calibri"/>
        </w:rPr>
        <w:t xml:space="preserve"> </w:t>
      </w:r>
      <w:r w:rsidR="006F2D0B" w:rsidRPr="00B15CFC">
        <w:rPr>
          <w:rFonts w:ascii="Calibri" w:hAnsi="Calibri" w:cs="Calibri"/>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663A8D" w:rsidRDefault="00663A8D" w:rsidP="006F2D0B">
      <w:pPr>
        <w:pStyle w:val="Tekstpodstawowy"/>
        <w:tabs>
          <w:tab w:val="left" w:pos="660"/>
        </w:tabs>
        <w:spacing w:line="360" w:lineRule="auto"/>
        <w:rPr>
          <w:rFonts w:ascii="Calibri" w:hAnsi="Calibri" w:cs="Calibri"/>
          <w:b/>
          <w:sz w:val="22"/>
          <w:szCs w:val="22"/>
        </w:rPr>
      </w:pPr>
    </w:p>
    <w:p w:rsidR="006F2D0B" w:rsidRPr="003F388E" w:rsidRDefault="00663A8D" w:rsidP="006F2D0B">
      <w:pPr>
        <w:pStyle w:val="Tekstpodstawowy"/>
        <w:tabs>
          <w:tab w:val="left" w:pos="660"/>
        </w:tabs>
        <w:spacing w:line="360" w:lineRule="auto"/>
        <w:rPr>
          <w:rFonts w:ascii="Calibri" w:hAnsi="Calibri" w:cs="Calibri"/>
          <w:b/>
          <w:sz w:val="22"/>
          <w:szCs w:val="22"/>
        </w:rPr>
      </w:pPr>
      <w:r>
        <w:rPr>
          <w:rFonts w:ascii="Calibri" w:hAnsi="Calibri" w:cs="Calibri"/>
          <w:b/>
          <w:sz w:val="22"/>
          <w:szCs w:val="22"/>
        </w:rPr>
        <w:t xml:space="preserve">Rozdział 13. Nieudzielenie zamówienia </w:t>
      </w:r>
    </w:p>
    <w:p w:rsidR="006F2D0B" w:rsidRPr="009E6367" w:rsidRDefault="006F2D0B" w:rsidP="009E6367">
      <w:pPr>
        <w:numPr>
          <w:ilvl w:val="0"/>
          <w:numId w:val="41"/>
        </w:numPr>
        <w:spacing w:after="0"/>
        <w:jc w:val="both"/>
        <w:rPr>
          <w:rFonts w:ascii="Calibri" w:hAnsi="Calibri" w:cs="Calibri"/>
          <w:b/>
        </w:rPr>
      </w:pPr>
      <w:r w:rsidRPr="003F388E">
        <w:rPr>
          <w:rFonts w:ascii="Calibri" w:hAnsi="Calibri" w:cs="Calibri"/>
        </w:rPr>
        <w:t>Zamawiający nie udzieli zamówienia, w przypadku</w:t>
      </w:r>
      <w:r w:rsidR="00663A8D">
        <w:rPr>
          <w:rFonts w:ascii="Calibri" w:hAnsi="Calibri" w:cs="Calibri"/>
        </w:rPr>
        <w:t>, gdy zachodzą następujące przesłanki</w:t>
      </w:r>
      <w:r w:rsidRPr="009E6367">
        <w:rPr>
          <w:rFonts w:ascii="Calibri" w:hAnsi="Calibri" w:cs="Calibri"/>
        </w:rPr>
        <w:t>:</w:t>
      </w:r>
    </w:p>
    <w:p w:rsidR="00663A8D" w:rsidRPr="00663A8D" w:rsidRDefault="00663A8D" w:rsidP="00663A8D">
      <w:pPr>
        <w:numPr>
          <w:ilvl w:val="0"/>
          <w:numId w:val="42"/>
        </w:numPr>
        <w:spacing w:after="0"/>
        <w:jc w:val="both"/>
        <w:rPr>
          <w:rFonts w:ascii="Calibri" w:hAnsi="Calibri" w:cs="Calibri"/>
          <w:b/>
        </w:rPr>
      </w:pPr>
      <w:r w:rsidRPr="00663A8D">
        <w:rPr>
          <w:rFonts w:ascii="Calibri" w:hAnsi="Calibri" w:cs="Calibri"/>
        </w:rPr>
        <w:t>Nie złożono żadnej oferty niepodlegającej odrzuceniu;</w:t>
      </w:r>
    </w:p>
    <w:p w:rsidR="006F2D0B" w:rsidRPr="00663A8D" w:rsidRDefault="006F2D0B" w:rsidP="00663A8D">
      <w:pPr>
        <w:numPr>
          <w:ilvl w:val="0"/>
          <w:numId w:val="42"/>
        </w:numPr>
        <w:spacing w:after="0"/>
        <w:jc w:val="both"/>
        <w:rPr>
          <w:rFonts w:ascii="Calibri" w:hAnsi="Calibri" w:cs="Calibri"/>
          <w:b/>
        </w:rPr>
      </w:pPr>
      <w:r w:rsidRPr="00663A8D">
        <w:rPr>
          <w:rFonts w:ascii="Calibri" w:hAnsi="Calibri" w:cs="Calibri"/>
        </w:rPr>
        <w:t>gdy cena oferty najkorzystniejszej lub oferty z najniższą ceną przekracza kwotę jaką zamawiający zamierza przeznaczyć na sfinansowanie zamówienia a kwoty tej nie może zwiększyć;</w:t>
      </w:r>
    </w:p>
    <w:p w:rsidR="006F2D0B" w:rsidRPr="00663A8D" w:rsidRDefault="006F2D0B" w:rsidP="00663A8D">
      <w:pPr>
        <w:numPr>
          <w:ilvl w:val="0"/>
          <w:numId w:val="42"/>
        </w:numPr>
        <w:spacing w:after="0"/>
        <w:jc w:val="both"/>
        <w:rPr>
          <w:rFonts w:ascii="Calibri" w:hAnsi="Calibri" w:cs="Calibri"/>
          <w:b/>
        </w:rPr>
      </w:pPr>
      <w:r>
        <w:rPr>
          <w:rFonts w:ascii="Calibri" w:hAnsi="Calibri" w:cs="Calibri"/>
        </w:rPr>
        <w:t>gdy postępowanie obarczone jest wadą uniemożliwiającą wybór oferty na zasadach określonych w niniejszym ogłoszeniu.</w:t>
      </w:r>
    </w:p>
    <w:p w:rsidR="00663A8D" w:rsidRPr="000F1BA0" w:rsidRDefault="00663A8D" w:rsidP="00663A8D">
      <w:pPr>
        <w:numPr>
          <w:ilvl w:val="0"/>
          <w:numId w:val="42"/>
        </w:numPr>
        <w:spacing w:after="0"/>
        <w:jc w:val="both"/>
        <w:rPr>
          <w:rFonts w:ascii="Calibri" w:hAnsi="Calibri" w:cs="Calibri"/>
          <w:b/>
        </w:rPr>
      </w:pPr>
      <w:r>
        <w:rPr>
          <w:rFonts w:ascii="Calibri" w:hAnsi="Calibri" w:cs="Calibri"/>
        </w:rPr>
        <w:t>gdy Wykonawca, którego oferta została wybrana uchyla się od podpisania umowy i Zamawiający nie skorzystał z prawa wyboru kolejnej oferty, zgodnie z zasadami określonymi w Ogłoszeniu.</w:t>
      </w:r>
    </w:p>
    <w:p w:rsidR="00634B14" w:rsidRPr="0013363A" w:rsidRDefault="006F2D0B" w:rsidP="00663A8D">
      <w:pPr>
        <w:pStyle w:val="Akapitzlist"/>
        <w:numPr>
          <w:ilvl w:val="0"/>
          <w:numId w:val="41"/>
        </w:numPr>
      </w:pPr>
      <w:r w:rsidRPr="00663A8D">
        <w:rPr>
          <w:rFonts w:ascii="Calibri" w:hAnsi="Calibri" w:cs="Calibri"/>
        </w:rPr>
        <w:lastRenderedPageBreak/>
        <w:t>W przypadku nieudzielenia zamówienia zamawiający zamieści na stronie internetowej Biuletynu Informacji Publicznej Zamawiającego (pod ogłoszeniem) informację o nieudzieleniu zamówienia, zgodnie z treścią art. 138 o ust 4 zd. drugie ustawy</w:t>
      </w:r>
      <w:r w:rsidR="00663A8D">
        <w:rPr>
          <w:rFonts w:ascii="Calibri" w:hAnsi="Calibri" w:cs="Calibri"/>
        </w:rPr>
        <w:t>.</w:t>
      </w:r>
    </w:p>
    <w:p w:rsidR="00D45349" w:rsidRPr="001B3839" w:rsidRDefault="00D45349" w:rsidP="00D45349">
      <w:pPr>
        <w:rPr>
          <w:b/>
        </w:rPr>
      </w:pPr>
      <w:r w:rsidRPr="001B3839">
        <w:rPr>
          <w:b/>
        </w:rPr>
        <w:t>Rozdział 14. Informacje o sposobie porozumiewania się Zamawiającego z Wykonawcami</w:t>
      </w:r>
    </w:p>
    <w:p w:rsidR="00D45349" w:rsidRPr="003F388E" w:rsidRDefault="00D45349" w:rsidP="00D45349">
      <w:pPr>
        <w:numPr>
          <w:ilvl w:val="0"/>
          <w:numId w:val="45"/>
        </w:numPr>
        <w:spacing w:after="0"/>
        <w:jc w:val="both"/>
        <w:rPr>
          <w:rFonts w:ascii="Calibri" w:hAnsi="Calibri" w:cs="Calibri"/>
        </w:rPr>
      </w:pPr>
      <w:r w:rsidRPr="003F388E">
        <w:rPr>
          <w:rFonts w:ascii="Calibri" w:hAnsi="Calibri" w:cs="Calibri"/>
        </w:rPr>
        <w:t>Niniejsze postępowanie prowadzone jest w języku polskim.</w:t>
      </w:r>
    </w:p>
    <w:p w:rsidR="00D45349" w:rsidRPr="003F388E" w:rsidRDefault="00D45349" w:rsidP="00D45349">
      <w:pPr>
        <w:numPr>
          <w:ilvl w:val="0"/>
          <w:numId w:val="45"/>
        </w:numPr>
        <w:spacing w:after="0"/>
        <w:jc w:val="both"/>
        <w:rPr>
          <w:rFonts w:ascii="Calibri" w:hAnsi="Calibri" w:cs="Calibri"/>
          <w:iCs/>
        </w:rPr>
      </w:pPr>
      <w:r w:rsidRPr="003F388E">
        <w:rPr>
          <w:rFonts w:ascii="Calibri" w:hAnsi="Calibri" w:cs="Calibri"/>
        </w:rPr>
        <w:t>Zamawiający i Wykonawcy oświadczenia, wnioski, zawiadomienia oraz informacje przekazują pisemnie (za pośrednictwem operatora pocztowego w rozumieniu ustawy z dnia 23 listopada 2012 r. – Prawo pocztowe /Dz. U. z 2017 r. poz. 1481 z późn. zm./, osobiście, za poś</w:t>
      </w:r>
      <w:r>
        <w:rPr>
          <w:rFonts w:ascii="Calibri" w:hAnsi="Calibri" w:cs="Calibri"/>
        </w:rPr>
        <w:t>rednictwem posłańca) lub</w:t>
      </w:r>
      <w:r w:rsidRPr="003F388E">
        <w:rPr>
          <w:rFonts w:ascii="Calibri" w:hAnsi="Calibri" w:cs="Calibri"/>
        </w:rPr>
        <w:t xml:space="preserve"> pocztą elektroniczną, zastrzeżeniem pkt 3. Jeżeli Zamawiający lub Wykonawca przekazuje oświadczenia, wnioski, zawiadom</w:t>
      </w:r>
      <w:r>
        <w:rPr>
          <w:rFonts w:ascii="Calibri" w:hAnsi="Calibri" w:cs="Calibri"/>
        </w:rPr>
        <w:t>ienia oraz informacje</w:t>
      </w:r>
      <w:r w:rsidRPr="003F388E">
        <w:rPr>
          <w:rFonts w:ascii="Calibri" w:hAnsi="Calibri" w:cs="Calibri"/>
        </w:rPr>
        <w:t xml:space="preserve"> pocztą elektroniczną, każda ze stron na żądanie drugiej niezwłocznie potwierdza fakt ich otrzymania.</w:t>
      </w:r>
    </w:p>
    <w:p w:rsidR="00D45349" w:rsidRPr="003F388E" w:rsidRDefault="00D45349" w:rsidP="00D45349">
      <w:pPr>
        <w:numPr>
          <w:ilvl w:val="0"/>
          <w:numId w:val="45"/>
        </w:numPr>
        <w:spacing w:after="0"/>
        <w:jc w:val="both"/>
        <w:rPr>
          <w:rFonts w:ascii="Calibri" w:hAnsi="Calibri" w:cs="Calibri"/>
          <w:iCs/>
        </w:rPr>
      </w:pPr>
      <w:r w:rsidRPr="003F388E">
        <w:rPr>
          <w:rFonts w:ascii="Calibri" w:hAnsi="Calibri" w:cs="Calibri"/>
        </w:rPr>
        <w:t>Dok</w:t>
      </w:r>
      <w:r>
        <w:rPr>
          <w:rFonts w:ascii="Calibri" w:hAnsi="Calibri" w:cs="Calibri"/>
        </w:rPr>
        <w:t xml:space="preserve">umenty, o których mowa </w:t>
      </w:r>
      <w:r w:rsidRPr="00F82ACA">
        <w:rPr>
          <w:rFonts w:ascii="Calibri" w:hAnsi="Calibri" w:cs="Calibri"/>
        </w:rPr>
        <w:t xml:space="preserve">w Rozdziale </w:t>
      </w:r>
      <w:r w:rsidR="00F82ACA" w:rsidRPr="00F82ACA">
        <w:rPr>
          <w:rFonts w:ascii="Calibri" w:hAnsi="Calibri" w:cs="Calibri"/>
        </w:rPr>
        <w:t>4</w:t>
      </w:r>
      <w:r w:rsidR="00F82ACA">
        <w:rPr>
          <w:rFonts w:ascii="Calibri" w:hAnsi="Calibri" w:cs="Calibri"/>
        </w:rPr>
        <w:t xml:space="preserve"> składane na wezwanie Z</w:t>
      </w:r>
      <w:r w:rsidRPr="003F388E">
        <w:rPr>
          <w:rFonts w:ascii="Calibri" w:hAnsi="Calibri" w:cs="Calibri"/>
        </w:rPr>
        <w:t>amawiającego na podstawie</w:t>
      </w:r>
      <w:r w:rsidR="00F82ACA">
        <w:rPr>
          <w:rFonts w:ascii="Calibri" w:hAnsi="Calibri" w:cs="Calibri"/>
        </w:rPr>
        <w:t xml:space="preserve"> Rozdziału 9 pkt 7</w:t>
      </w:r>
      <w:r w:rsidRPr="003F388E">
        <w:rPr>
          <w:rFonts w:ascii="Calibri" w:hAnsi="Calibri" w:cs="Calibri"/>
        </w:rPr>
        <w:t xml:space="preserve"> winny być złożone w formie </w:t>
      </w:r>
      <w:r>
        <w:rPr>
          <w:rFonts w:ascii="Calibri" w:hAnsi="Calibri" w:cs="Calibri"/>
        </w:rPr>
        <w:t xml:space="preserve">wymaganej </w:t>
      </w:r>
      <w:r w:rsidRPr="003F388E">
        <w:rPr>
          <w:rFonts w:ascii="Calibri" w:hAnsi="Calibri" w:cs="Calibri"/>
        </w:rPr>
        <w:t>dla tych dokumentów. W tym przypadku nie dopuszcza się możliwości</w:t>
      </w:r>
      <w:r>
        <w:rPr>
          <w:rFonts w:ascii="Calibri" w:hAnsi="Calibri" w:cs="Calibri"/>
        </w:rPr>
        <w:t xml:space="preserve"> składania dokumentów </w:t>
      </w:r>
      <w:r w:rsidRPr="003F388E">
        <w:rPr>
          <w:rFonts w:ascii="Calibri" w:hAnsi="Calibri" w:cs="Calibri"/>
        </w:rPr>
        <w:t>pocztą elektroniczną.</w:t>
      </w:r>
    </w:p>
    <w:p w:rsidR="00D45349" w:rsidRPr="003F388E" w:rsidRDefault="00D45349" w:rsidP="00D45349">
      <w:pPr>
        <w:pStyle w:val="Tekstpodstawowy"/>
        <w:numPr>
          <w:ilvl w:val="0"/>
          <w:numId w:val="45"/>
        </w:numPr>
        <w:spacing w:line="276" w:lineRule="auto"/>
        <w:jc w:val="both"/>
        <w:rPr>
          <w:rFonts w:ascii="Calibri" w:hAnsi="Calibri" w:cs="Calibri"/>
          <w:iCs/>
          <w:sz w:val="22"/>
          <w:szCs w:val="22"/>
        </w:rPr>
      </w:pPr>
      <w:r>
        <w:rPr>
          <w:rFonts w:ascii="Calibri" w:hAnsi="Calibri" w:cs="Calibri"/>
          <w:iCs/>
          <w:sz w:val="22"/>
          <w:szCs w:val="22"/>
        </w:rPr>
        <w:t>Adres Zamawiającego do korespondencji</w:t>
      </w:r>
      <w:r w:rsidRPr="003F388E">
        <w:rPr>
          <w:rFonts w:ascii="Calibri" w:hAnsi="Calibri" w:cs="Calibri"/>
          <w:iCs/>
          <w:sz w:val="22"/>
          <w:szCs w:val="22"/>
        </w:rPr>
        <w:t>:</w:t>
      </w:r>
    </w:p>
    <w:p w:rsidR="00D45349" w:rsidRPr="003F388E" w:rsidRDefault="00D45349" w:rsidP="00D45349">
      <w:pPr>
        <w:pStyle w:val="Tekstpodstawowy"/>
        <w:numPr>
          <w:ilvl w:val="0"/>
          <w:numId w:val="44"/>
        </w:numPr>
        <w:tabs>
          <w:tab w:val="clear" w:pos="720"/>
          <w:tab w:val="num" w:pos="993"/>
        </w:tabs>
        <w:spacing w:line="276" w:lineRule="auto"/>
        <w:ind w:left="993" w:hanging="284"/>
        <w:jc w:val="both"/>
        <w:rPr>
          <w:rFonts w:ascii="Calibri" w:hAnsi="Calibri" w:cs="Calibri"/>
          <w:iCs/>
          <w:sz w:val="22"/>
          <w:szCs w:val="22"/>
        </w:rPr>
      </w:pPr>
      <w:r w:rsidRPr="003F388E">
        <w:rPr>
          <w:rFonts w:ascii="Calibri" w:hAnsi="Calibri" w:cs="Calibri"/>
          <w:iCs/>
          <w:sz w:val="22"/>
          <w:szCs w:val="22"/>
        </w:rPr>
        <w:t xml:space="preserve">adres poczty elektronicznej: </w:t>
      </w:r>
      <w:hyperlink r:id="rId10" w:history="1">
        <w:r w:rsidR="00B92CE5" w:rsidRPr="004D36BE">
          <w:rPr>
            <w:rStyle w:val="Hipercze"/>
            <w:rFonts w:ascii="Calibri" w:hAnsi="Calibri" w:cs="Calibri"/>
            <w:iCs/>
            <w:sz w:val="22"/>
            <w:szCs w:val="22"/>
          </w:rPr>
          <w:t>a.bojarska@ujd.edu.pl</w:t>
        </w:r>
      </w:hyperlink>
      <w:r w:rsidR="00B92CE5">
        <w:rPr>
          <w:rFonts w:ascii="Calibri" w:hAnsi="Calibri" w:cs="Calibri"/>
          <w:iCs/>
          <w:sz w:val="22"/>
          <w:szCs w:val="22"/>
        </w:rPr>
        <w:t xml:space="preserve"> </w:t>
      </w:r>
    </w:p>
    <w:p w:rsidR="00D45349" w:rsidRPr="003F388E" w:rsidRDefault="00D45349" w:rsidP="00D45349">
      <w:pPr>
        <w:pStyle w:val="Tekstpodstawowy"/>
        <w:numPr>
          <w:ilvl w:val="0"/>
          <w:numId w:val="44"/>
        </w:numPr>
        <w:tabs>
          <w:tab w:val="clear" w:pos="720"/>
          <w:tab w:val="num" w:pos="993"/>
        </w:tabs>
        <w:spacing w:line="276" w:lineRule="auto"/>
        <w:ind w:left="993" w:hanging="284"/>
        <w:jc w:val="both"/>
        <w:rPr>
          <w:rFonts w:ascii="Calibri" w:hAnsi="Calibri" w:cs="Calibri"/>
          <w:iCs/>
          <w:sz w:val="22"/>
          <w:szCs w:val="22"/>
        </w:rPr>
      </w:pPr>
      <w:r w:rsidRPr="003F388E">
        <w:rPr>
          <w:rFonts w:ascii="Calibri" w:hAnsi="Calibri" w:cs="Calibri"/>
          <w:iCs/>
          <w:sz w:val="22"/>
          <w:szCs w:val="22"/>
        </w:rPr>
        <w:t>adres do korespondencji: Uniwersytet Humanistyczno-Przyrodniczy</w:t>
      </w:r>
      <w:r>
        <w:rPr>
          <w:rFonts w:ascii="Calibri" w:hAnsi="Calibri" w:cs="Calibri"/>
          <w:iCs/>
          <w:sz w:val="22"/>
          <w:szCs w:val="22"/>
        </w:rPr>
        <w:t xml:space="preserve"> im. Jana Długosza w </w:t>
      </w:r>
      <w:r w:rsidRPr="003F388E">
        <w:rPr>
          <w:rFonts w:ascii="Calibri" w:hAnsi="Calibri" w:cs="Calibri"/>
          <w:iCs/>
          <w:sz w:val="22"/>
          <w:szCs w:val="22"/>
        </w:rPr>
        <w:t>Częstochowie, ul. Waszyngtona 4/8, pok. 32, 42-200 Częstochowa.</w:t>
      </w:r>
    </w:p>
    <w:p w:rsidR="00D45349" w:rsidRPr="00CC5269" w:rsidRDefault="00D45349" w:rsidP="00D45349">
      <w:pPr>
        <w:pStyle w:val="Tekstpodstawowy"/>
        <w:numPr>
          <w:ilvl w:val="0"/>
          <w:numId w:val="45"/>
        </w:numPr>
        <w:spacing w:line="276" w:lineRule="auto"/>
        <w:jc w:val="both"/>
        <w:rPr>
          <w:rFonts w:ascii="Calibri" w:hAnsi="Calibri" w:cs="Calibri"/>
          <w:iCs/>
          <w:sz w:val="22"/>
          <w:szCs w:val="22"/>
        </w:rPr>
      </w:pPr>
      <w:r w:rsidRPr="00CC5269">
        <w:rPr>
          <w:rFonts w:ascii="Calibri" w:hAnsi="Calibri" w:cs="Calibri"/>
          <w:iCs/>
          <w:sz w:val="22"/>
          <w:szCs w:val="22"/>
        </w:rPr>
        <w:t>Wykonawca może zwrócić się do zamawiającego o wyjaśnienie treści ogłoszenia</w:t>
      </w:r>
      <w:r>
        <w:rPr>
          <w:rFonts w:ascii="Calibri" w:hAnsi="Calibri" w:cs="Calibri"/>
          <w:iCs/>
          <w:sz w:val="22"/>
          <w:szCs w:val="22"/>
        </w:rPr>
        <w:t xml:space="preserve">. </w:t>
      </w:r>
      <w:r w:rsidRPr="00CC5269">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D45349" w:rsidRPr="003F388E" w:rsidRDefault="00D45349" w:rsidP="00D45349">
      <w:pPr>
        <w:pStyle w:val="Tekstpodstawowy"/>
        <w:numPr>
          <w:ilvl w:val="0"/>
          <w:numId w:val="45"/>
        </w:numPr>
        <w:spacing w:line="276" w:lineRule="auto"/>
        <w:jc w:val="both"/>
        <w:rPr>
          <w:rFonts w:ascii="Calibri" w:hAnsi="Calibri" w:cs="Calibri"/>
          <w:iCs/>
          <w:sz w:val="22"/>
          <w:szCs w:val="22"/>
        </w:rPr>
      </w:pPr>
      <w:r w:rsidRPr="003F388E">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D45349" w:rsidRPr="003F388E" w:rsidRDefault="00D45349" w:rsidP="00D45349">
      <w:pPr>
        <w:pStyle w:val="Tekstpodstawowy"/>
        <w:numPr>
          <w:ilvl w:val="0"/>
          <w:numId w:val="45"/>
        </w:numPr>
        <w:spacing w:line="276" w:lineRule="auto"/>
        <w:jc w:val="both"/>
        <w:rPr>
          <w:rFonts w:ascii="Calibri" w:hAnsi="Calibri" w:cs="Calibri"/>
          <w:iCs/>
          <w:sz w:val="22"/>
          <w:szCs w:val="22"/>
        </w:rPr>
      </w:pPr>
      <w:r w:rsidRPr="003F388E">
        <w:rPr>
          <w:rFonts w:ascii="Calibri" w:hAnsi="Calibri" w:cs="Calibri"/>
          <w:iCs/>
          <w:sz w:val="22"/>
          <w:szCs w:val="22"/>
        </w:rPr>
        <w:t xml:space="preserve">Zamawiający jednocześnie umieszcza na </w:t>
      </w:r>
      <w:r w:rsidRPr="003F388E">
        <w:rPr>
          <w:rFonts w:ascii="Calibri" w:hAnsi="Calibri" w:cs="Calibri"/>
          <w:sz w:val="22"/>
          <w:szCs w:val="22"/>
        </w:rPr>
        <w:t>stronie internetowej Biuletynu Informacji Publicznej Zamawiającego</w:t>
      </w:r>
      <w:r w:rsidRPr="003F388E">
        <w:rPr>
          <w:rFonts w:ascii="Calibri" w:hAnsi="Calibri" w:cs="Calibri"/>
          <w:iCs/>
          <w:sz w:val="22"/>
          <w:szCs w:val="22"/>
        </w:rPr>
        <w:t xml:space="preserve"> (pod ogłoszeniem o zamówieniu) pytania do ogłoszenia wraz  z odpowiedziami, bez ujawniania źródła zapytania. </w:t>
      </w:r>
    </w:p>
    <w:p w:rsidR="00D45349" w:rsidRPr="003F388E" w:rsidRDefault="00D45349" w:rsidP="00D45349">
      <w:pPr>
        <w:pStyle w:val="Tekstpodstawowy"/>
        <w:numPr>
          <w:ilvl w:val="0"/>
          <w:numId w:val="45"/>
        </w:numPr>
        <w:spacing w:line="276" w:lineRule="auto"/>
        <w:jc w:val="both"/>
        <w:rPr>
          <w:rFonts w:ascii="Calibri" w:hAnsi="Calibri" w:cs="Calibri"/>
          <w:iCs/>
          <w:sz w:val="22"/>
          <w:szCs w:val="22"/>
        </w:rPr>
      </w:pPr>
      <w:r w:rsidRPr="003F388E">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3F388E">
        <w:rPr>
          <w:rFonts w:ascii="Calibri" w:hAnsi="Calibri" w:cs="Calibri"/>
          <w:sz w:val="22"/>
          <w:szCs w:val="22"/>
        </w:rPr>
        <w:t>na stronie internetowej Biuletynu Informacji Publicznej Zamawiającego</w:t>
      </w:r>
      <w:r w:rsidRPr="003F388E">
        <w:rPr>
          <w:rFonts w:ascii="Calibri" w:hAnsi="Calibri" w:cs="Calibri"/>
          <w:iCs/>
          <w:sz w:val="22"/>
          <w:szCs w:val="22"/>
        </w:rPr>
        <w:t xml:space="preserve"> (pod ogłoszeniem o zamówieniu). </w:t>
      </w:r>
    </w:p>
    <w:p w:rsidR="00D45349" w:rsidRDefault="00D45349" w:rsidP="00D45349"/>
    <w:p w:rsidR="00B92CE5" w:rsidRDefault="00B92CE5" w:rsidP="00D45349"/>
    <w:p w:rsidR="00B92CE5" w:rsidRDefault="00B92CE5" w:rsidP="00D45349"/>
    <w:p w:rsidR="00D45349" w:rsidRPr="001A282D" w:rsidRDefault="00D45349" w:rsidP="00D45349">
      <w:pPr>
        <w:rPr>
          <w:b/>
        </w:rPr>
      </w:pPr>
      <w:r w:rsidRPr="001A282D">
        <w:rPr>
          <w:b/>
        </w:rPr>
        <w:lastRenderedPageBreak/>
        <w:t xml:space="preserve">Rozdział 15. Informacja </w:t>
      </w:r>
      <w:r w:rsidRPr="001A282D">
        <w:rPr>
          <w:rFonts w:cs="Calibri"/>
          <w:b/>
        </w:rPr>
        <w:t xml:space="preserve">dotycząca przetwarzania danych osobowych </w:t>
      </w:r>
    </w:p>
    <w:p w:rsidR="00D45349" w:rsidRPr="00CC5269" w:rsidRDefault="00D45349" w:rsidP="00D45349">
      <w:pPr>
        <w:pStyle w:val="Akapitzlist"/>
        <w:numPr>
          <w:ilvl w:val="1"/>
          <w:numId w:val="44"/>
        </w:numPr>
        <w:tabs>
          <w:tab w:val="clear" w:pos="1440"/>
          <w:tab w:val="num" w:pos="709"/>
        </w:tabs>
        <w:ind w:left="709" w:hanging="283"/>
        <w:jc w:val="both"/>
        <w:rPr>
          <w:rFonts w:cs="Calibri"/>
        </w:rPr>
      </w:pPr>
      <w:r w:rsidRPr="00CC5269">
        <w:rPr>
          <w:rFonts w:cs="Calibri"/>
        </w:rPr>
        <w:t xml:space="preserve">Zgodnie z art. 13 ust. 1 i ust. 2 </w:t>
      </w:r>
      <w:r w:rsidRPr="00CC5269">
        <w:rPr>
          <w:rFonts w:cs="Calibri"/>
          <w:bCs/>
        </w:rPr>
        <w:t>Rozporządzenia Parlamentu Europejskiego i Rady (UE) 2016/679 z dnia 27 kwietnia 2016 r. w sprawie ochrony osób fizycznych w związku z przetwarzaniem danych osobowych i w sprawie swobodnego przepływu takich danych oraz uchylenia dyrektywy 95/46/WE (</w:t>
      </w:r>
      <w:r w:rsidRPr="00CC5269">
        <w:rPr>
          <w:rFonts w:cs="Calibri"/>
        </w:rPr>
        <w:t>ogólnego rozporządzenia o ochronie danych osobowych – dalej zwane RODO) Uniwersytet Humanistyczno-Przyrodniczy im. Jana Długosza w Częstochowie informuje, że:</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administratorem Pani/Pana danych osobowych jest Uniwersytet Humanistyczno-Przyrodniczy im. Jana Długosza w Częstochowie, Waszyngtona 4/8, 42-200 Częstochowa;</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 xml:space="preserve">dane kontaktowe inspektora ochrony danych w Uniwersytecie Humanistyczno-Przyrodniczym im. Jana Długosza w Częstochowie: e-mail: </w:t>
      </w:r>
      <w:hyperlink r:id="rId11" w:history="1">
        <w:r w:rsidRPr="00CC5269">
          <w:rPr>
            <w:rStyle w:val="Hipercze"/>
            <w:rFonts w:cs="Calibri"/>
          </w:rPr>
          <w:t>iod@ajd.czest.pl</w:t>
        </w:r>
      </w:hyperlink>
      <w:r w:rsidRPr="00CC5269">
        <w:rPr>
          <w:rFonts w:cs="Calibri"/>
        </w:rPr>
        <w:t>, tel. 34 37-84-133;</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Pani/Pana dane osobowe przetwarzane będą na podstawie art. 6 ust. 1 lit. b) i c) RODO w celu związanym z postępowaniem o udzielenie zamówienia publicznego prowadzonego pod</w:t>
      </w:r>
      <w:r>
        <w:rPr>
          <w:rFonts w:cs="Calibri"/>
        </w:rPr>
        <w:t xml:space="preserve"> nr </w:t>
      </w:r>
      <w:r w:rsidR="00DF31AA">
        <w:rPr>
          <w:rFonts w:cs="Calibri"/>
          <w:b/>
        </w:rPr>
        <w:t>ZP-371/4</w:t>
      </w:r>
      <w:r w:rsidRPr="00CC5269">
        <w:rPr>
          <w:rFonts w:cs="Calibri"/>
          <w:b/>
        </w:rPr>
        <w:t>/19</w:t>
      </w:r>
      <w:r w:rsidRPr="00CC5269">
        <w:rPr>
          <w:rFonts w:cs="Calibri"/>
        </w:rPr>
        <w:t xml:space="preserve"> na podstawie art. 138o ustawy Pzp i w celu wykonania umowy zawartej w wyniku tego postępowania;</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Pani/Pana dane osobowe będą przechowywane, przez okres niezbędny do realizacji celów wskazanych w pkt 3) i 4) oraz obowiązku archiwizacyjnego</w:t>
      </w:r>
      <w:r>
        <w:rPr>
          <w:rFonts w:cs="Calibri"/>
        </w:rPr>
        <w:t xml:space="preserve"> wynikającego z przepisów prawa. Z uwagi, że przedmiotowe zamówienie współfinansowane jest ze środków UE dane będą przechowywane z uwzględnieniem okres trwałości projektu;</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w odniesieniu do Pani/Pana danych osobowych decyzje nie będą podejmowane w sposób zautomatyzowany, stosowanie do art. 22 RODO;</w:t>
      </w:r>
    </w:p>
    <w:p w:rsidR="00D45349" w:rsidRPr="00CC5269" w:rsidRDefault="00D45349" w:rsidP="00D45349">
      <w:pPr>
        <w:pStyle w:val="Akapitzlist"/>
        <w:numPr>
          <w:ilvl w:val="0"/>
          <w:numId w:val="46"/>
        </w:numPr>
        <w:tabs>
          <w:tab w:val="left" w:pos="851"/>
        </w:tabs>
        <w:spacing w:after="0"/>
        <w:ind w:left="851" w:hanging="284"/>
        <w:jc w:val="both"/>
        <w:rPr>
          <w:rFonts w:cs="Calibri"/>
        </w:rPr>
      </w:pPr>
      <w:r w:rsidRPr="00CC5269">
        <w:rPr>
          <w:rFonts w:cs="Calibri"/>
        </w:rPr>
        <w:t>posiada Pani/Pan:</w:t>
      </w:r>
    </w:p>
    <w:p w:rsidR="00D45349" w:rsidRPr="00CC5269" w:rsidRDefault="00D45349" w:rsidP="00D45349">
      <w:pPr>
        <w:pStyle w:val="Akapitzlist"/>
        <w:numPr>
          <w:ilvl w:val="0"/>
          <w:numId w:val="47"/>
        </w:numPr>
        <w:spacing w:after="0"/>
        <w:ind w:left="851" w:firstLine="0"/>
        <w:jc w:val="both"/>
        <w:rPr>
          <w:rFonts w:cs="Calibri"/>
        </w:rPr>
      </w:pPr>
      <w:r w:rsidRPr="00CC5269">
        <w:rPr>
          <w:rFonts w:cs="Calibri"/>
        </w:rPr>
        <w:t>na podstawie art. 15 RODO prawo dostępu do danych osobowych Pani/Pana dotyczących;</w:t>
      </w:r>
    </w:p>
    <w:p w:rsidR="00D45349" w:rsidRPr="00CC5269" w:rsidRDefault="00D45349" w:rsidP="00D45349">
      <w:pPr>
        <w:pStyle w:val="Akapitzlist"/>
        <w:numPr>
          <w:ilvl w:val="0"/>
          <w:numId w:val="47"/>
        </w:numPr>
        <w:spacing w:after="0"/>
        <w:ind w:left="851" w:firstLine="0"/>
        <w:jc w:val="both"/>
        <w:rPr>
          <w:rFonts w:cs="Calibri"/>
        </w:rPr>
      </w:pPr>
      <w:r w:rsidRPr="00CC5269">
        <w:rPr>
          <w:rFonts w:cs="Calibri"/>
        </w:rPr>
        <w:t xml:space="preserve">na podstawie art. 16 RODO prawo do sprostowania Pani/Pana danych osobowych (skorzystanie z prawa do sprostowania nie może skutkować zmianą wyniku postępowania o </w:t>
      </w:r>
      <w:r w:rsidRPr="00CC5269">
        <w:rPr>
          <w:rFonts w:cs="Calibri"/>
        </w:rPr>
        <w:lastRenderedPageBreak/>
        <w:t>udzielenie zamówienia publicznego ani zmianą postanowień umowy w zakresie niezgodnym z ustawą Pzp oraz nie może naruszać integralności protokołu oraz jego załączników);</w:t>
      </w:r>
    </w:p>
    <w:p w:rsidR="00D45349" w:rsidRPr="00CC5269" w:rsidRDefault="00D45349" w:rsidP="00D45349">
      <w:pPr>
        <w:pStyle w:val="Akapitzlist"/>
        <w:numPr>
          <w:ilvl w:val="0"/>
          <w:numId w:val="47"/>
        </w:numPr>
        <w:spacing w:after="0"/>
        <w:ind w:left="851" w:firstLine="0"/>
        <w:jc w:val="both"/>
        <w:rPr>
          <w:rFonts w:cs="Calibri"/>
        </w:rPr>
      </w:pPr>
      <w:r w:rsidRPr="00CC5269">
        <w:rPr>
          <w:rFonts w:cs="Calibri"/>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45349" w:rsidRPr="00CC5269" w:rsidRDefault="00D45349" w:rsidP="00D45349">
      <w:pPr>
        <w:pStyle w:val="Akapitzlist"/>
        <w:numPr>
          <w:ilvl w:val="0"/>
          <w:numId w:val="47"/>
        </w:numPr>
        <w:spacing w:after="0"/>
        <w:ind w:left="851" w:firstLine="0"/>
        <w:jc w:val="both"/>
        <w:rPr>
          <w:rFonts w:cs="Calibri"/>
        </w:rPr>
      </w:pPr>
      <w:r w:rsidRPr="00CC5269">
        <w:rPr>
          <w:rFonts w:cs="Calibri"/>
        </w:rPr>
        <w:t xml:space="preserve">prawo do wniesienia skargi do Prezesa Urzędu Ochrony Danych Osobowych, gdy uzna Pani/Pan, że przetwarzanie danych osobowych Pani/Pana dotyczących narusza przepisy RODO </w:t>
      </w:r>
    </w:p>
    <w:p w:rsidR="00D45349" w:rsidRPr="00CC5269" w:rsidRDefault="00D45349" w:rsidP="00D45349">
      <w:pPr>
        <w:pStyle w:val="Akapitzlist"/>
        <w:numPr>
          <w:ilvl w:val="0"/>
          <w:numId w:val="46"/>
        </w:numPr>
        <w:tabs>
          <w:tab w:val="left" w:pos="851"/>
        </w:tabs>
        <w:spacing w:after="0"/>
        <w:ind w:left="567" w:firstLine="0"/>
        <w:jc w:val="both"/>
        <w:rPr>
          <w:rFonts w:cs="Calibri"/>
        </w:rPr>
      </w:pPr>
      <w:r w:rsidRPr="00CC5269">
        <w:rPr>
          <w:rFonts w:cs="Calibri"/>
        </w:rPr>
        <w:t>nie przysługuje Pani/Panu:</w:t>
      </w:r>
    </w:p>
    <w:p w:rsidR="00D45349" w:rsidRPr="00CC5269" w:rsidRDefault="00D45349" w:rsidP="00D45349">
      <w:pPr>
        <w:pStyle w:val="Akapitzlist"/>
        <w:numPr>
          <w:ilvl w:val="0"/>
          <w:numId w:val="48"/>
        </w:numPr>
        <w:spacing w:after="0"/>
        <w:ind w:left="851" w:firstLine="0"/>
        <w:jc w:val="both"/>
        <w:rPr>
          <w:rFonts w:cs="Calibri"/>
          <w:i/>
        </w:rPr>
      </w:pPr>
      <w:r w:rsidRPr="00CC5269">
        <w:rPr>
          <w:rFonts w:cs="Calibri"/>
        </w:rPr>
        <w:t xml:space="preserve"> w związku z art. 17 ust. 3 lit. b, d lub e RODO prawo do usunięcia danych osobowych;</w:t>
      </w:r>
    </w:p>
    <w:p w:rsidR="00D45349" w:rsidRPr="00CC5269" w:rsidRDefault="00D45349" w:rsidP="00D45349">
      <w:pPr>
        <w:pStyle w:val="Akapitzlist"/>
        <w:numPr>
          <w:ilvl w:val="0"/>
          <w:numId w:val="48"/>
        </w:numPr>
        <w:spacing w:after="0"/>
        <w:ind w:left="851" w:firstLine="0"/>
        <w:jc w:val="both"/>
        <w:rPr>
          <w:rFonts w:cs="Calibri"/>
          <w:b/>
          <w:i/>
        </w:rPr>
      </w:pPr>
      <w:r w:rsidRPr="00CC5269">
        <w:rPr>
          <w:rFonts w:cs="Calibri"/>
        </w:rPr>
        <w:t xml:space="preserve"> prawo do przenoszenia danych osobowych, o którym mowa w art. 20 RODO;</w:t>
      </w:r>
    </w:p>
    <w:p w:rsidR="00D45349" w:rsidRPr="00CC5269" w:rsidRDefault="00D45349" w:rsidP="00D45349">
      <w:pPr>
        <w:pStyle w:val="Akapitzlist"/>
        <w:numPr>
          <w:ilvl w:val="0"/>
          <w:numId w:val="48"/>
        </w:numPr>
        <w:spacing w:after="0"/>
        <w:ind w:left="851" w:firstLine="0"/>
        <w:jc w:val="both"/>
        <w:rPr>
          <w:rFonts w:cs="Calibri"/>
          <w:b/>
          <w:i/>
        </w:rPr>
      </w:pPr>
      <w:r w:rsidRPr="00CC5269">
        <w:rPr>
          <w:rFonts w:cs="Calibri"/>
          <w:b/>
          <w:i/>
        </w:rPr>
        <w:t xml:space="preserve"> </w:t>
      </w:r>
      <w:r w:rsidRPr="00CC5269">
        <w:rPr>
          <w:rFonts w:cs="Calibri"/>
        </w:rPr>
        <w:t>na podstawie art. 21 RODO prawo sprzeciwu, wobec przetwarzania danych osobowych, gdyż podstawą prawną przetwarzania Pani/Pana danych osobowych jest art. 6 ust. 1 lit. b) i c) RODO.</w:t>
      </w:r>
    </w:p>
    <w:p w:rsidR="00E9488C" w:rsidRDefault="00E9488C" w:rsidP="00D45349">
      <w:pPr>
        <w:jc w:val="both"/>
        <w:rPr>
          <w:rFonts w:ascii="Calibri" w:hAnsi="Calibri" w:cs="Calibri"/>
          <w:i/>
          <w:sz w:val="18"/>
          <w:szCs w:val="18"/>
          <w:u w:val="single"/>
        </w:rPr>
      </w:pPr>
    </w:p>
    <w:p w:rsidR="00D45349" w:rsidRDefault="00D45349" w:rsidP="001A282D">
      <w:pPr>
        <w:spacing w:after="0" w:line="240" w:lineRule="auto"/>
        <w:jc w:val="both"/>
        <w:rPr>
          <w:rFonts w:ascii="Calibri" w:hAnsi="Calibri" w:cs="Calibri"/>
          <w:i/>
          <w:sz w:val="18"/>
          <w:szCs w:val="18"/>
          <w:u w:val="single"/>
        </w:rPr>
      </w:pPr>
      <w:r w:rsidRPr="003F388E">
        <w:rPr>
          <w:rFonts w:ascii="Calibri" w:hAnsi="Calibri" w:cs="Calibri"/>
          <w:i/>
          <w:sz w:val="18"/>
          <w:szCs w:val="18"/>
          <w:u w:val="single"/>
        </w:rPr>
        <w:t>Wykaz załączników:</w:t>
      </w:r>
    </w:p>
    <w:p w:rsidR="001A282D" w:rsidRPr="003F388E" w:rsidRDefault="001A282D" w:rsidP="001A282D">
      <w:pPr>
        <w:spacing w:after="0" w:line="240" w:lineRule="auto"/>
        <w:jc w:val="both"/>
        <w:rPr>
          <w:rFonts w:ascii="Calibri" w:hAnsi="Calibri" w:cs="Calibri"/>
          <w:i/>
          <w:sz w:val="18"/>
          <w:szCs w:val="18"/>
          <w:u w:val="single"/>
        </w:rPr>
      </w:pPr>
    </w:p>
    <w:p w:rsidR="00D45349" w:rsidRPr="003F388E" w:rsidRDefault="00D45349" w:rsidP="001A282D">
      <w:pPr>
        <w:spacing w:after="0" w:line="240" w:lineRule="auto"/>
        <w:jc w:val="both"/>
        <w:rPr>
          <w:rFonts w:ascii="Calibri" w:hAnsi="Calibri" w:cs="Calibri"/>
          <w:i/>
          <w:sz w:val="18"/>
          <w:szCs w:val="18"/>
        </w:rPr>
      </w:pPr>
      <w:r w:rsidRPr="003F388E">
        <w:rPr>
          <w:rFonts w:ascii="Calibri" w:hAnsi="Calibri" w:cs="Calibri"/>
          <w:i/>
          <w:sz w:val="18"/>
          <w:szCs w:val="18"/>
        </w:rPr>
        <w:t xml:space="preserve">- załącznik nr 1 – Formularz oferty </w:t>
      </w:r>
    </w:p>
    <w:p w:rsidR="00D45349" w:rsidRPr="003F388E" w:rsidRDefault="00D45349" w:rsidP="001A282D">
      <w:pPr>
        <w:spacing w:after="0" w:line="240" w:lineRule="auto"/>
        <w:jc w:val="both"/>
        <w:rPr>
          <w:rFonts w:ascii="Calibri" w:hAnsi="Calibri" w:cs="Calibri"/>
          <w:i/>
          <w:sz w:val="18"/>
          <w:szCs w:val="18"/>
        </w:rPr>
      </w:pPr>
      <w:r w:rsidRPr="003F388E">
        <w:rPr>
          <w:rFonts w:ascii="Calibri" w:hAnsi="Calibri" w:cs="Calibri"/>
          <w:i/>
          <w:sz w:val="18"/>
          <w:szCs w:val="18"/>
        </w:rPr>
        <w:t>- załącznik nr 2 – Oświadcz</w:t>
      </w:r>
      <w:r w:rsidR="00B72401">
        <w:rPr>
          <w:rFonts w:ascii="Calibri" w:hAnsi="Calibri" w:cs="Calibri"/>
          <w:i/>
          <w:sz w:val="18"/>
          <w:szCs w:val="18"/>
        </w:rPr>
        <w:t>enie o spełnianiu warunków udziału w postępowaniu</w:t>
      </w:r>
    </w:p>
    <w:p w:rsidR="00004FD0" w:rsidRDefault="00D45349" w:rsidP="00B72401">
      <w:pPr>
        <w:spacing w:after="0" w:line="240" w:lineRule="auto"/>
        <w:jc w:val="both"/>
        <w:rPr>
          <w:rFonts w:ascii="Calibri" w:hAnsi="Calibri" w:cs="Calibri"/>
          <w:i/>
          <w:sz w:val="18"/>
          <w:szCs w:val="18"/>
        </w:rPr>
      </w:pPr>
      <w:r w:rsidRPr="003F388E">
        <w:rPr>
          <w:rFonts w:ascii="Calibri" w:hAnsi="Calibri" w:cs="Calibri"/>
          <w:i/>
          <w:sz w:val="18"/>
          <w:szCs w:val="18"/>
        </w:rPr>
        <w:t>- załącznik n</w:t>
      </w:r>
      <w:r w:rsidR="00B72401">
        <w:rPr>
          <w:rFonts w:ascii="Calibri" w:hAnsi="Calibri" w:cs="Calibri"/>
          <w:i/>
          <w:sz w:val="18"/>
          <w:szCs w:val="18"/>
        </w:rPr>
        <w:t>r 3 – Zobowiązanie podmiotu trzeciego do udostępnienia zasobów</w:t>
      </w:r>
    </w:p>
    <w:p w:rsidR="00B72401" w:rsidRDefault="00B72401" w:rsidP="00B72401">
      <w:pPr>
        <w:spacing w:after="0" w:line="240" w:lineRule="auto"/>
        <w:jc w:val="both"/>
        <w:rPr>
          <w:rFonts w:ascii="Calibri" w:hAnsi="Calibri" w:cs="Calibri"/>
          <w:i/>
          <w:sz w:val="18"/>
          <w:szCs w:val="18"/>
        </w:rPr>
      </w:pPr>
      <w:r>
        <w:rPr>
          <w:rFonts w:ascii="Calibri" w:hAnsi="Calibri" w:cs="Calibri"/>
          <w:i/>
          <w:sz w:val="18"/>
          <w:szCs w:val="18"/>
        </w:rPr>
        <w:t>- załącznik nr 4 – Wykaz usług</w:t>
      </w:r>
    </w:p>
    <w:p w:rsidR="00B72401" w:rsidRDefault="00B72401" w:rsidP="00B72401">
      <w:pPr>
        <w:spacing w:after="0" w:line="240" w:lineRule="auto"/>
        <w:jc w:val="both"/>
        <w:rPr>
          <w:rFonts w:ascii="Calibri" w:hAnsi="Calibri" w:cs="Calibri"/>
          <w:i/>
          <w:sz w:val="18"/>
          <w:szCs w:val="18"/>
        </w:rPr>
      </w:pPr>
      <w:r>
        <w:rPr>
          <w:rFonts w:ascii="Calibri" w:hAnsi="Calibri" w:cs="Calibri"/>
          <w:i/>
          <w:sz w:val="18"/>
          <w:szCs w:val="18"/>
        </w:rPr>
        <w:t>- załącznik nr 5 – Wykaz osób</w:t>
      </w:r>
    </w:p>
    <w:p w:rsidR="00B72401" w:rsidRDefault="00B72401" w:rsidP="00B72401">
      <w:pPr>
        <w:spacing w:after="0" w:line="240" w:lineRule="auto"/>
        <w:jc w:val="both"/>
        <w:rPr>
          <w:rFonts w:ascii="Calibri" w:hAnsi="Calibri" w:cs="Calibri"/>
          <w:i/>
          <w:sz w:val="18"/>
          <w:szCs w:val="18"/>
        </w:rPr>
      </w:pPr>
      <w:r>
        <w:rPr>
          <w:rFonts w:ascii="Calibri" w:hAnsi="Calibri" w:cs="Calibri"/>
          <w:i/>
          <w:sz w:val="18"/>
          <w:szCs w:val="18"/>
        </w:rPr>
        <w:t>- załącznik nr 6 – Oświadczenie ws. przynależności do grupy kapitałowej</w:t>
      </w:r>
    </w:p>
    <w:p w:rsidR="00004FD0" w:rsidRDefault="00B15CFC" w:rsidP="00BA4E24">
      <w:pPr>
        <w:spacing w:after="0" w:line="240" w:lineRule="auto"/>
        <w:jc w:val="both"/>
        <w:rPr>
          <w:rFonts w:ascii="Calibri" w:hAnsi="Calibri" w:cs="Calibri"/>
          <w:i/>
          <w:sz w:val="18"/>
          <w:szCs w:val="18"/>
        </w:rPr>
      </w:pPr>
      <w:r>
        <w:rPr>
          <w:rFonts w:ascii="Calibri" w:hAnsi="Calibri" w:cs="Calibri"/>
          <w:i/>
          <w:sz w:val="18"/>
          <w:szCs w:val="18"/>
        </w:rPr>
        <w:t xml:space="preserve">- załącznik nr </w:t>
      </w:r>
      <w:r w:rsidR="00FF15BE">
        <w:rPr>
          <w:rFonts w:ascii="Calibri" w:hAnsi="Calibri" w:cs="Calibri"/>
          <w:i/>
          <w:sz w:val="18"/>
          <w:szCs w:val="18"/>
        </w:rPr>
        <w:t>7</w:t>
      </w:r>
      <w:r>
        <w:rPr>
          <w:rFonts w:ascii="Calibri" w:hAnsi="Calibri" w:cs="Calibri"/>
          <w:i/>
          <w:sz w:val="18"/>
          <w:szCs w:val="18"/>
        </w:rPr>
        <w:t xml:space="preserve"> – Wzór umowy</w:t>
      </w:r>
    </w:p>
    <w:p w:rsidR="00BA4E24" w:rsidRPr="00BA4E24" w:rsidRDefault="00BA4E24" w:rsidP="00BA4E24">
      <w:pPr>
        <w:spacing w:after="0" w:line="240" w:lineRule="auto"/>
        <w:jc w:val="both"/>
        <w:rPr>
          <w:rFonts w:ascii="Calibri" w:hAnsi="Calibri" w:cs="Calibri"/>
          <w:i/>
          <w:sz w:val="18"/>
          <w:szCs w:val="18"/>
        </w:rPr>
      </w:pPr>
      <w:r>
        <w:rPr>
          <w:rFonts w:ascii="Calibri" w:hAnsi="Calibri" w:cs="Calibri"/>
          <w:i/>
          <w:sz w:val="18"/>
          <w:szCs w:val="18"/>
        </w:rPr>
        <w:t>- załącznik nr 8 – Wzór umowy o powierzeniu przetwarzania danych osobowych</w:t>
      </w:r>
      <w:bookmarkStart w:id="0" w:name="_GoBack"/>
      <w:bookmarkEnd w:id="0"/>
    </w:p>
    <w:p w:rsidR="00C33575" w:rsidRDefault="00C33575"/>
    <w:sectPr w:rsidR="00C3357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10D" w:rsidRDefault="0011610D" w:rsidP="009E2610">
      <w:pPr>
        <w:spacing w:after="0" w:line="240" w:lineRule="auto"/>
      </w:pPr>
      <w:r>
        <w:separator/>
      </w:r>
    </w:p>
  </w:endnote>
  <w:endnote w:type="continuationSeparator" w:id="0">
    <w:p w:rsidR="0011610D" w:rsidRDefault="0011610D" w:rsidP="009E2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10D" w:rsidRDefault="0011610D" w:rsidP="009E2610">
      <w:pPr>
        <w:spacing w:after="0" w:line="240" w:lineRule="auto"/>
      </w:pPr>
      <w:r>
        <w:separator/>
      </w:r>
    </w:p>
  </w:footnote>
  <w:footnote w:type="continuationSeparator" w:id="0">
    <w:p w:rsidR="0011610D" w:rsidRDefault="0011610D" w:rsidP="009E26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B2" w:rsidRDefault="003E7DB2" w:rsidP="003E7DB2">
    <w:r>
      <w:rPr>
        <w:noProof/>
        <w:lang w:eastAsia="pl-PL"/>
      </w:rPr>
      <w:drawing>
        <wp:inline distT="0" distB="0" distL="0" distR="0" wp14:anchorId="7ABA6A42" wp14:editId="5C8B6055">
          <wp:extent cx="5765800" cy="736600"/>
          <wp:effectExtent l="0" t="0" r="6350" b="6350"/>
          <wp:docPr id="4"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736600"/>
                  </a:xfrm>
                  <a:prstGeom prst="rect">
                    <a:avLst/>
                  </a:prstGeom>
                  <a:noFill/>
                  <a:ln>
                    <a:noFill/>
                  </a:ln>
                </pic:spPr>
              </pic:pic>
            </a:graphicData>
          </a:graphic>
        </wp:inline>
      </w:drawing>
    </w:r>
  </w:p>
  <w:p w:rsidR="003E7DB2" w:rsidRDefault="003E7DB2" w:rsidP="003E7DB2">
    <w:pPr>
      <w:pStyle w:val="Nagwek"/>
      <w:pBdr>
        <w:bottom w:val="single" w:sz="4" w:space="1" w:color="auto"/>
      </w:pBdr>
    </w:pPr>
  </w:p>
  <w:p w:rsidR="003E7DB2" w:rsidRPr="00D227EB" w:rsidRDefault="003E7DB2" w:rsidP="003E7DB2">
    <w:pPr>
      <w:pStyle w:val="Nagwek"/>
      <w:jc w:val="center"/>
    </w:pPr>
  </w:p>
  <w:p w:rsidR="003E7DB2" w:rsidRDefault="003E7DB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1E02"/>
    <w:multiLevelType w:val="singleLevel"/>
    <w:tmpl w:val="616E263E"/>
    <w:lvl w:ilvl="0">
      <w:start w:val="1"/>
      <w:numFmt w:val="decimal"/>
      <w:lvlText w:val="%1."/>
      <w:lvlJc w:val="left"/>
      <w:pPr>
        <w:tabs>
          <w:tab w:val="num" w:pos="360"/>
        </w:tabs>
        <w:ind w:left="360" w:hanging="360"/>
      </w:pPr>
      <w:rPr>
        <w:rFonts w:hint="default"/>
        <w:b w:val="0"/>
      </w:rPr>
    </w:lvl>
  </w:abstractNum>
  <w:abstractNum w:abstractNumId="1">
    <w:nsid w:val="00EA3181"/>
    <w:multiLevelType w:val="hybridMultilevel"/>
    <w:tmpl w:val="AD5065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112B4B"/>
    <w:multiLevelType w:val="hybridMultilevel"/>
    <w:tmpl w:val="15F234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7A27A8B"/>
    <w:multiLevelType w:val="hybridMultilevel"/>
    <w:tmpl w:val="1902AE3E"/>
    <w:lvl w:ilvl="0" w:tplc="E33E4B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8E2E1B"/>
    <w:multiLevelType w:val="hybridMultilevel"/>
    <w:tmpl w:val="05A04382"/>
    <w:lvl w:ilvl="0" w:tplc="FFFFFFFF">
      <w:start w:val="1"/>
      <w:numFmt w:val="bullet"/>
      <w:lvlText w:val=""/>
      <w:lvlJc w:val="left"/>
      <w:pPr>
        <w:ind w:left="1440" w:hanging="360"/>
      </w:pPr>
      <w:rPr>
        <w:rFonts w:ascii="Symbol" w:hAnsi="Symbol" w:hint="default"/>
      </w:rPr>
    </w:lvl>
    <w:lvl w:ilvl="1" w:tplc="FFFFFFFF">
      <w:start w:val="1"/>
      <w:numFmt w:val="decimal"/>
      <w:lvlText w:val="%2."/>
      <w:lvlJc w:val="left"/>
      <w:pPr>
        <w:tabs>
          <w:tab w:val="num" w:pos="1800"/>
        </w:tabs>
        <w:ind w:left="1800" w:hanging="360"/>
      </w:p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6">
    <w:nsid w:val="0B63762B"/>
    <w:multiLevelType w:val="multilevel"/>
    <w:tmpl w:val="C7B2741C"/>
    <w:lvl w:ilvl="0">
      <w:start w:val="1"/>
      <w:numFmt w:val="decimal"/>
      <w:lvlText w:val="%1."/>
      <w:lvlJc w:val="left"/>
      <w:pPr>
        <w:tabs>
          <w:tab w:val="num" w:pos="2520"/>
        </w:tabs>
        <w:ind w:left="2520" w:hanging="360"/>
      </w:pPr>
      <w:rPr>
        <w:rFonts w:ascii="Arial" w:hAnsi="Arial" w:cs="Arial" w:hint="default"/>
        <w:b w:val="0"/>
        <w:sz w:val="22"/>
        <w:szCs w:val="22"/>
      </w:rPr>
    </w:lvl>
    <w:lvl w:ilvl="1">
      <w:start w:val="1"/>
      <w:numFmt w:val="decimal"/>
      <w:isLgl/>
      <w:lvlText w:val="%1.%2."/>
      <w:lvlJc w:val="left"/>
      <w:pPr>
        <w:ind w:left="2880" w:hanging="720"/>
      </w:pPr>
      <w:rPr>
        <w:rFonts w:hint="default"/>
        <w:i w:val="0"/>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3960" w:hanging="1800"/>
      </w:pPr>
      <w:rPr>
        <w:rFonts w:hint="default"/>
      </w:rPr>
    </w:lvl>
  </w:abstractNum>
  <w:abstractNum w:abstractNumId="7">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E175CC"/>
    <w:multiLevelType w:val="hybridMultilevel"/>
    <w:tmpl w:val="4CFA706E"/>
    <w:lvl w:ilvl="0" w:tplc="670491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EA80134"/>
    <w:multiLevelType w:val="hybridMultilevel"/>
    <w:tmpl w:val="279878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184755"/>
    <w:multiLevelType w:val="hybridMultilevel"/>
    <w:tmpl w:val="2D1E25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FDC0C99"/>
    <w:multiLevelType w:val="hybridMultilevel"/>
    <w:tmpl w:val="11ECD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79B4B66"/>
    <w:multiLevelType w:val="hybridMultilevel"/>
    <w:tmpl w:val="5C86E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0C7858"/>
    <w:multiLevelType w:val="hybridMultilevel"/>
    <w:tmpl w:val="4AB2DB98"/>
    <w:lvl w:ilvl="0" w:tplc="164234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B2F11DD"/>
    <w:multiLevelType w:val="hybridMultilevel"/>
    <w:tmpl w:val="2D187E28"/>
    <w:lvl w:ilvl="0" w:tplc="8E18C4E6">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FBC1563"/>
    <w:multiLevelType w:val="hybridMultilevel"/>
    <w:tmpl w:val="99E6798C"/>
    <w:lvl w:ilvl="0" w:tplc="574217B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B21570"/>
    <w:multiLevelType w:val="multilevel"/>
    <w:tmpl w:val="9490E8A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24003AD4"/>
    <w:multiLevelType w:val="hybridMultilevel"/>
    <w:tmpl w:val="8ABEF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2BB444B9"/>
    <w:multiLevelType w:val="hybridMultilevel"/>
    <w:tmpl w:val="640A3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77583F"/>
    <w:multiLevelType w:val="multilevel"/>
    <w:tmpl w:val="10EC72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0573276"/>
    <w:multiLevelType w:val="hybridMultilevel"/>
    <w:tmpl w:val="3B8CF7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35D7421F"/>
    <w:multiLevelType w:val="multilevel"/>
    <w:tmpl w:val="E36A00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AE34382"/>
    <w:multiLevelType w:val="hybridMultilevel"/>
    <w:tmpl w:val="F6384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CE44321"/>
    <w:multiLevelType w:val="hybridMultilevel"/>
    <w:tmpl w:val="398E8F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D313947"/>
    <w:multiLevelType w:val="hybridMultilevel"/>
    <w:tmpl w:val="E3D4BD9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927B1A"/>
    <w:multiLevelType w:val="hybridMultilevel"/>
    <w:tmpl w:val="AD563522"/>
    <w:lvl w:ilvl="0" w:tplc="5FC0E3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F6B1073"/>
    <w:multiLevelType w:val="hybridMultilevel"/>
    <w:tmpl w:val="63E491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195C8E"/>
    <w:multiLevelType w:val="hybridMultilevel"/>
    <w:tmpl w:val="42FE9478"/>
    <w:lvl w:ilvl="0" w:tplc="3E188E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64567361"/>
    <w:multiLevelType w:val="hybridMultilevel"/>
    <w:tmpl w:val="5C50E300"/>
    <w:lvl w:ilvl="0" w:tplc="9E2809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65F54705"/>
    <w:multiLevelType w:val="hybridMultilevel"/>
    <w:tmpl w:val="5700F0B4"/>
    <w:lvl w:ilvl="0" w:tplc="B358BF92">
      <w:start w:val="1"/>
      <w:numFmt w:val="decimal"/>
      <w:lvlText w:val="%1)"/>
      <w:lvlJc w:val="left"/>
      <w:pPr>
        <w:tabs>
          <w:tab w:val="num" w:pos="720"/>
        </w:tabs>
        <w:ind w:left="720" w:hanging="360"/>
      </w:pPr>
      <w:rPr>
        <w:rFonts w:asciiTheme="minorHAnsi" w:eastAsia="Times New Roman" w:hAnsiTheme="minorHAnsi" w:cs="Tahoma"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A306E89"/>
    <w:multiLevelType w:val="multilevel"/>
    <w:tmpl w:val="7DA83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B44555F"/>
    <w:multiLevelType w:val="hybridMultilevel"/>
    <w:tmpl w:val="D7CEB1EA"/>
    <w:lvl w:ilvl="0" w:tplc="F2868A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6FF14196"/>
    <w:multiLevelType w:val="multilevel"/>
    <w:tmpl w:val="5CFC9B44"/>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70DA2667"/>
    <w:multiLevelType w:val="hybridMultilevel"/>
    <w:tmpl w:val="E822F0E2"/>
    <w:lvl w:ilvl="0" w:tplc="9A2C2C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71800BA0"/>
    <w:multiLevelType w:val="hybridMultilevel"/>
    <w:tmpl w:val="E3A84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420B30"/>
    <w:multiLevelType w:val="hybridMultilevel"/>
    <w:tmpl w:val="25B028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51034E6"/>
    <w:multiLevelType w:val="multilevel"/>
    <w:tmpl w:val="DDD6F7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78204284"/>
    <w:multiLevelType w:val="hybridMultilevel"/>
    <w:tmpl w:val="2C1222EC"/>
    <w:lvl w:ilvl="0" w:tplc="F2868A4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nsid w:val="7B5C52F1"/>
    <w:multiLevelType w:val="hybridMultilevel"/>
    <w:tmpl w:val="C5004C9A"/>
    <w:lvl w:ilvl="0" w:tplc="A008CF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C284BCC"/>
    <w:multiLevelType w:val="hybridMultilevel"/>
    <w:tmpl w:val="A4FAA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CEB10A6"/>
    <w:multiLevelType w:val="hybridMultilevel"/>
    <w:tmpl w:val="A3AC9246"/>
    <w:lvl w:ilvl="0" w:tplc="35C63D7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BD63A6"/>
    <w:multiLevelType w:val="hybridMultilevel"/>
    <w:tmpl w:val="385CA95E"/>
    <w:lvl w:ilvl="0" w:tplc="F2868A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5"/>
  </w:num>
  <w:num w:numId="2">
    <w:abstractNumId w:val="36"/>
  </w:num>
  <w:num w:numId="3">
    <w:abstractNumId w:val="30"/>
  </w:num>
  <w:num w:numId="4">
    <w:abstractNumId w:val="1"/>
  </w:num>
  <w:num w:numId="5">
    <w:abstractNumId w:val="12"/>
  </w:num>
  <w:num w:numId="6">
    <w:abstractNumId w:val="41"/>
  </w:num>
  <w:num w:numId="7">
    <w:abstractNumId w:val="43"/>
  </w:num>
  <w:num w:numId="8">
    <w:abstractNumId w:val="23"/>
  </w:num>
  <w:num w:numId="9">
    <w:abstractNumId w:val="42"/>
  </w:num>
  <w:num w:numId="10">
    <w:abstractNumId w:val="37"/>
  </w:num>
  <w:num w:numId="11">
    <w:abstractNumId w:val="26"/>
  </w:num>
  <w:num w:numId="12">
    <w:abstractNumId w:val="11"/>
  </w:num>
  <w:num w:numId="13">
    <w:abstractNumId w:val="2"/>
  </w:num>
  <w:num w:numId="14">
    <w:abstractNumId w:val="6"/>
  </w:num>
  <w:num w:numId="15">
    <w:abstractNumId w:val="20"/>
  </w:num>
  <w:num w:numId="16">
    <w:abstractNumId w:val="27"/>
  </w:num>
  <w:num w:numId="17">
    <w:abstractNumId w:val="39"/>
  </w:num>
  <w:num w:numId="18">
    <w:abstractNumId w:val="22"/>
  </w:num>
  <w:num w:numId="19">
    <w:abstractNumId w:val="25"/>
  </w:num>
  <w:num w:numId="20">
    <w:abstractNumId w:val="29"/>
  </w:num>
  <w:num w:numId="21">
    <w:abstractNumId w:val="28"/>
  </w:num>
  <w:num w:numId="22">
    <w:abstractNumId w:val="15"/>
  </w:num>
  <w:num w:numId="23">
    <w:abstractNumId w:val="17"/>
  </w:num>
  <w:num w:numId="24">
    <w:abstractNumId w:val="0"/>
  </w:num>
  <w:num w:numId="25">
    <w:abstractNumId w:val="8"/>
  </w:num>
  <w:num w:numId="26">
    <w:abstractNumId w:val="47"/>
  </w:num>
  <w:num w:numId="27">
    <w:abstractNumId w:val="18"/>
  </w:num>
  <w:num w:numId="28">
    <w:abstractNumId w:val="9"/>
  </w:num>
  <w:num w:numId="29">
    <w:abstractNumId w:val="45"/>
  </w:num>
  <w:num w:numId="30">
    <w:abstractNumId w:val="3"/>
  </w:num>
  <w:num w:numId="31">
    <w:abstractNumId w:val="44"/>
  </w:num>
  <w:num w:numId="32">
    <w:abstractNumId w:val="40"/>
  </w:num>
  <w:num w:numId="33">
    <w:abstractNumId w:val="38"/>
  </w:num>
  <w:num w:numId="34">
    <w:abstractNumId w:val="16"/>
  </w:num>
  <w:num w:numId="35">
    <w:abstractNumId w:val="32"/>
  </w:num>
  <w:num w:numId="36">
    <w:abstractNumId w:val="13"/>
  </w:num>
  <w:num w:numId="37">
    <w:abstractNumId w:val="33"/>
  </w:num>
  <w:num w:numId="38">
    <w:abstractNumId w:val="10"/>
  </w:num>
  <w:num w:numId="39">
    <w:abstractNumId w:val="4"/>
  </w:num>
  <w:num w:numId="40">
    <w:abstractNumId w:val="46"/>
  </w:num>
  <w:num w:numId="41">
    <w:abstractNumId w:val="31"/>
  </w:num>
  <w:num w:numId="42">
    <w:abstractNumId w:val="19"/>
  </w:num>
  <w:num w:numId="4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7"/>
  </w:num>
  <w:num w:numId="47">
    <w:abstractNumId w:val="14"/>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575"/>
    <w:rsid w:val="00001D42"/>
    <w:rsid w:val="00004FD0"/>
    <w:rsid w:val="0003748C"/>
    <w:rsid w:val="000867B4"/>
    <w:rsid w:val="000A49A8"/>
    <w:rsid w:val="000E789E"/>
    <w:rsid w:val="000F67DA"/>
    <w:rsid w:val="001075D2"/>
    <w:rsid w:val="0011610D"/>
    <w:rsid w:val="0013363A"/>
    <w:rsid w:val="001817AC"/>
    <w:rsid w:val="0019397D"/>
    <w:rsid w:val="001A0DC8"/>
    <w:rsid w:val="001A0FC3"/>
    <w:rsid w:val="001A282D"/>
    <w:rsid w:val="001A28CF"/>
    <w:rsid w:val="001A7EB2"/>
    <w:rsid w:val="001B600F"/>
    <w:rsid w:val="001C2095"/>
    <w:rsid w:val="001C6ABA"/>
    <w:rsid w:val="001D5C21"/>
    <w:rsid w:val="0022610A"/>
    <w:rsid w:val="0026781F"/>
    <w:rsid w:val="002B01B7"/>
    <w:rsid w:val="002F3EBA"/>
    <w:rsid w:val="003075E0"/>
    <w:rsid w:val="00334121"/>
    <w:rsid w:val="003608B3"/>
    <w:rsid w:val="003D4B56"/>
    <w:rsid w:val="003E7DB2"/>
    <w:rsid w:val="003F408E"/>
    <w:rsid w:val="00406499"/>
    <w:rsid w:val="00431D3C"/>
    <w:rsid w:val="00447F69"/>
    <w:rsid w:val="004567C0"/>
    <w:rsid w:val="00464EF0"/>
    <w:rsid w:val="004E7812"/>
    <w:rsid w:val="0053150E"/>
    <w:rsid w:val="005454AE"/>
    <w:rsid w:val="00554797"/>
    <w:rsid w:val="005A1394"/>
    <w:rsid w:val="005B747B"/>
    <w:rsid w:val="005E59C4"/>
    <w:rsid w:val="00623832"/>
    <w:rsid w:val="00634B14"/>
    <w:rsid w:val="0064073E"/>
    <w:rsid w:val="00663A8D"/>
    <w:rsid w:val="00675765"/>
    <w:rsid w:val="006802F5"/>
    <w:rsid w:val="006A6D73"/>
    <w:rsid w:val="006F2D0B"/>
    <w:rsid w:val="006F6D72"/>
    <w:rsid w:val="00704B99"/>
    <w:rsid w:val="007242CE"/>
    <w:rsid w:val="00726BDA"/>
    <w:rsid w:val="00727102"/>
    <w:rsid w:val="00763207"/>
    <w:rsid w:val="007826B7"/>
    <w:rsid w:val="00795141"/>
    <w:rsid w:val="007B3F9D"/>
    <w:rsid w:val="007B7589"/>
    <w:rsid w:val="007C5264"/>
    <w:rsid w:val="007E15A7"/>
    <w:rsid w:val="007F351F"/>
    <w:rsid w:val="007F4753"/>
    <w:rsid w:val="008320D2"/>
    <w:rsid w:val="00841C4E"/>
    <w:rsid w:val="008B501B"/>
    <w:rsid w:val="008C08EA"/>
    <w:rsid w:val="008E67D6"/>
    <w:rsid w:val="00942C03"/>
    <w:rsid w:val="00983C14"/>
    <w:rsid w:val="009849DE"/>
    <w:rsid w:val="009D4FD6"/>
    <w:rsid w:val="009E2610"/>
    <w:rsid w:val="009E6367"/>
    <w:rsid w:val="00A17E9D"/>
    <w:rsid w:val="00A42E9F"/>
    <w:rsid w:val="00A601CC"/>
    <w:rsid w:val="00A74385"/>
    <w:rsid w:val="00A83D73"/>
    <w:rsid w:val="00A953E1"/>
    <w:rsid w:val="00A96187"/>
    <w:rsid w:val="00AD2C68"/>
    <w:rsid w:val="00B02ECE"/>
    <w:rsid w:val="00B15CFC"/>
    <w:rsid w:val="00B21B3F"/>
    <w:rsid w:val="00B342B2"/>
    <w:rsid w:val="00B363C5"/>
    <w:rsid w:val="00B450CB"/>
    <w:rsid w:val="00B6215E"/>
    <w:rsid w:val="00B67505"/>
    <w:rsid w:val="00B72401"/>
    <w:rsid w:val="00B92CE5"/>
    <w:rsid w:val="00BA4E24"/>
    <w:rsid w:val="00BA637D"/>
    <w:rsid w:val="00BC6B5F"/>
    <w:rsid w:val="00C333B4"/>
    <w:rsid w:val="00C33575"/>
    <w:rsid w:val="00CD244C"/>
    <w:rsid w:val="00CD3693"/>
    <w:rsid w:val="00CE3482"/>
    <w:rsid w:val="00CF6625"/>
    <w:rsid w:val="00D04BAA"/>
    <w:rsid w:val="00D1024A"/>
    <w:rsid w:val="00D16867"/>
    <w:rsid w:val="00D45349"/>
    <w:rsid w:val="00D82A2D"/>
    <w:rsid w:val="00DF163D"/>
    <w:rsid w:val="00DF31AA"/>
    <w:rsid w:val="00E03699"/>
    <w:rsid w:val="00E0527A"/>
    <w:rsid w:val="00E078D8"/>
    <w:rsid w:val="00E11A1B"/>
    <w:rsid w:val="00E11BB8"/>
    <w:rsid w:val="00E1622B"/>
    <w:rsid w:val="00E41593"/>
    <w:rsid w:val="00E86DA4"/>
    <w:rsid w:val="00E9488C"/>
    <w:rsid w:val="00EA4877"/>
    <w:rsid w:val="00EA4D19"/>
    <w:rsid w:val="00EF035A"/>
    <w:rsid w:val="00EF6E30"/>
    <w:rsid w:val="00EF7BFE"/>
    <w:rsid w:val="00F13863"/>
    <w:rsid w:val="00F15B7E"/>
    <w:rsid w:val="00F321C8"/>
    <w:rsid w:val="00F82ACA"/>
    <w:rsid w:val="00F93DB5"/>
    <w:rsid w:val="00FB03B0"/>
    <w:rsid w:val="00FF15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3E7DB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33575"/>
    <w:pPr>
      <w:ind w:left="720"/>
      <w:contextualSpacing/>
    </w:pPr>
  </w:style>
  <w:style w:type="table" w:styleId="Tabela-Siatka">
    <w:name w:val="Table Grid"/>
    <w:basedOn w:val="Standardowy"/>
    <w:uiPriority w:val="59"/>
    <w:rsid w:val="00A42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817A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1"/>
    <w:rsid w:val="001A7EB2"/>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uiPriority w:val="99"/>
    <w:semiHidden/>
    <w:rsid w:val="001A7EB2"/>
  </w:style>
  <w:style w:type="character" w:customStyle="1" w:styleId="TekstpodstawowyZnak1">
    <w:name w:val="Tekst podstawowy Znak1"/>
    <w:link w:val="Tekstpodstawowy"/>
    <w:rsid w:val="001A7EB2"/>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1A0DC8"/>
    <w:rPr>
      <w:color w:val="0000FF" w:themeColor="hyperlink"/>
      <w:u w:val="single"/>
    </w:rPr>
  </w:style>
  <w:style w:type="paragraph" w:styleId="Tekstprzypisukocowego">
    <w:name w:val="endnote text"/>
    <w:basedOn w:val="Normalny"/>
    <w:link w:val="TekstprzypisukocowegoZnak"/>
    <w:uiPriority w:val="99"/>
    <w:semiHidden/>
    <w:unhideWhenUsed/>
    <w:rsid w:val="009E26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2610"/>
    <w:rPr>
      <w:sz w:val="20"/>
      <w:szCs w:val="20"/>
    </w:rPr>
  </w:style>
  <w:style w:type="character" w:styleId="Odwoanieprzypisukocowego">
    <w:name w:val="endnote reference"/>
    <w:basedOn w:val="Domylnaczcionkaakapitu"/>
    <w:uiPriority w:val="99"/>
    <w:semiHidden/>
    <w:unhideWhenUsed/>
    <w:rsid w:val="009E2610"/>
    <w:rPr>
      <w:vertAlign w:val="superscript"/>
    </w:rPr>
  </w:style>
  <w:style w:type="character" w:customStyle="1" w:styleId="AkapitzlistZnak">
    <w:name w:val="Akapit z listą Znak"/>
    <w:link w:val="Akapitzlist"/>
    <w:uiPriority w:val="34"/>
    <w:locked/>
    <w:rsid w:val="00D45349"/>
  </w:style>
  <w:style w:type="paragraph" w:styleId="Nagwek">
    <w:name w:val="header"/>
    <w:basedOn w:val="Normalny"/>
    <w:link w:val="NagwekZnak"/>
    <w:uiPriority w:val="99"/>
    <w:unhideWhenUsed/>
    <w:rsid w:val="003E7D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DB2"/>
  </w:style>
  <w:style w:type="paragraph" w:styleId="Stopka">
    <w:name w:val="footer"/>
    <w:basedOn w:val="Normalny"/>
    <w:link w:val="StopkaZnak"/>
    <w:uiPriority w:val="99"/>
    <w:unhideWhenUsed/>
    <w:rsid w:val="003E7D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DB2"/>
  </w:style>
  <w:style w:type="paragraph" w:styleId="Tekstdymka">
    <w:name w:val="Balloon Text"/>
    <w:basedOn w:val="Normalny"/>
    <w:link w:val="TekstdymkaZnak"/>
    <w:uiPriority w:val="99"/>
    <w:semiHidden/>
    <w:unhideWhenUsed/>
    <w:rsid w:val="003E7D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7DB2"/>
    <w:rPr>
      <w:rFonts w:ascii="Tahoma" w:hAnsi="Tahoma" w:cs="Tahoma"/>
      <w:sz w:val="16"/>
      <w:szCs w:val="16"/>
    </w:rPr>
  </w:style>
  <w:style w:type="character" w:customStyle="1" w:styleId="Nagwek3Znak">
    <w:name w:val="Nagłówek 3 Znak"/>
    <w:basedOn w:val="Domylnaczcionkaakapitu"/>
    <w:link w:val="Nagwek3"/>
    <w:uiPriority w:val="9"/>
    <w:rsid w:val="003E7DB2"/>
    <w:rPr>
      <w:rFonts w:ascii="Times New Roman" w:eastAsia="Times New Roman" w:hAnsi="Times New Roman" w:cs="Times New Roman"/>
      <w:b/>
      <w:bCs/>
      <w:sz w:val="27"/>
      <w:szCs w:val="27"/>
      <w:lang w:eastAsia="pl-PL"/>
    </w:rPr>
  </w:style>
  <w:style w:type="character" w:styleId="HTML-kod">
    <w:name w:val="HTML Code"/>
    <w:basedOn w:val="Domylnaczcionkaakapitu"/>
    <w:uiPriority w:val="99"/>
    <w:semiHidden/>
    <w:unhideWhenUsed/>
    <w:rsid w:val="003E7DB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3E7DB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33575"/>
    <w:pPr>
      <w:ind w:left="720"/>
      <w:contextualSpacing/>
    </w:pPr>
  </w:style>
  <w:style w:type="table" w:styleId="Tabela-Siatka">
    <w:name w:val="Table Grid"/>
    <w:basedOn w:val="Standardowy"/>
    <w:uiPriority w:val="59"/>
    <w:rsid w:val="00A42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817A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1"/>
    <w:rsid w:val="001A7EB2"/>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uiPriority w:val="99"/>
    <w:semiHidden/>
    <w:rsid w:val="001A7EB2"/>
  </w:style>
  <w:style w:type="character" w:customStyle="1" w:styleId="TekstpodstawowyZnak1">
    <w:name w:val="Tekst podstawowy Znak1"/>
    <w:link w:val="Tekstpodstawowy"/>
    <w:rsid w:val="001A7EB2"/>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1A0DC8"/>
    <w:rPr>
      <w:color w:val="0000FF" w:themeColor="hyperlink"/>
      <w:u w:val="single"/>
    </w:rPr>
  </w:style>
  <w:style w:type="paragraph" w:styleId="Tekstprzypisukocowego">
    <w:name w:val="endnote text"/>
    <w:basedOn w:val="Normalny"/>
    <w:link w:val="TekstprzypisukocowegoZnak"/>
    <w:uiPriority w:val="99"/>
    <w:semiHidden/>
    <w:unhideWhenUsed/>
    <w:rsid w:val="009E261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2610"/>
    <w:rPr>
      <w:sz w:val="20"/>
      <w:szCs w:val="20"/>
    </w:rPr>
  </w:style>
  <w:style w:type="character" w:styleId="Odwoanieprzypisukocowego">
    <w:name w:val="endnote reference"/>
    <w:basedOn w:val="Domylnaczcionkaakapitu"/>
    <w:uiPriority w:val="99"/>
    <w:semiHidden/>
    <w:unhideWhenUsed/>
    <w:rsid w:val="009E2610"/>
    <w:rPr>
      <w:vertAlign w:val="superscript"/>
    </w:rPr>
  </w:style>
  <w:style w:type="character" w:customStyle="1" w:styleId="AkapitzlistZnak">
    <w:name w:val="Akapit z listą Znak"/>
    <w:link w:val="Akapitzlist"/>
    <w:uiPriority w:val="34"/>
    <w:locked/>
    <w:rsid w:val="00D45349"/>
  </w:style>
  <w:style w:type="paragraph" w:styleId="Nagwek">
    <w:name w:val="header"/>
    <w:basedOn w:val="Normalny"/>
    <w:link w:val="NagwekZnak"/>
    <w:uiPriority w:val="99"/>
    <w:unhideWhenUsed/>
    <w:rsid w:val="003E7D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DB2"/>
  </w:style>
  <w:style w:type="paragraph" w:styleId="Stopka">
    <w:name w:val="footer"/>
    <w:basedOn w:val="Normalny"/>
    <w:link w:val="StopkaZnak"/>
    <w:uiPriority w:val="99"/>
    <w:unhideWhenUsed/>
    <w:rsid w:val="003E7D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DB2"/>
  </w:style>
  <w:style w:type="paragraph" w:styleId="Tekstdymka">
    <w:name w:val="Balloon Text"/>
    <w:basedOn w:val="Normalny"/>
    <w:link w:val="TekstdymkaZnak"/>
    <w:uiPriority w:val="99"/>
    <w:semiHidden/>
    <w:unhideWhenUsed/>
    <w:rsid w:val="003E7D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7DB2"/>
    <w:rPr>
      <w:rFonts w:ascii="Tahoma" w:hAnsi="Tahoma" w:cs="Tahoma"/>
      <w:sz w:val="16"/>
      <w:szCs w:val="16"/>
    </w:rPr>
  </w:style>
  <w:style w:type="character" w:customStyle="1" w:styleId="Nagwek3Znak">
    <w:name w:val="Nagłówek 3 Znak"/>
    <w:basedOn w:val="Domylnaczcionkaakapitu"/>
    <w:link w:val="Nagwek3"/>
    <w:uiPriority w:val="9"/>
    <w:rsid w:val="003E7DB2"/>
    <w:rPr>
      <w:rFonts w:ascii="Times New Roman" w:eastAsia="Times New Roman" w:hAnsi="Times New Roman" w:cs="Times New Roman"/>
      <w:b/>
      <w:bCs/>
      <w:sz w:val="27"/>
      <w:szCs w:val="27"/>
      <w:lang w:eastAsia="pl-PL"/>
    </w:rPr>
  </w:style>
  <w:style w:type="character" w:styleId="HTML-kod">
    <w:name w:val="HTML Code"/>
    <w:basedOn w:val="Domylnaczcionkaakapitu"/>
    <w:uiPriority w:val="99"/>
    <w:semiHidden/>
    <w:unhideWhenUsed/>
    <w:rsid w:val="003E7DB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9061">
      <w:bodyDiv w:val="1"/>
      <w:marLeft w:val="0"/>
      <w:marRight w:val="0"/>
      <w:marTop w:val="0"/>
      <w:marBottom w:val="0"/>
      <w:divBdr>
        <w:top w:val="none" w:sz="0" w:space="0" w:color="auto"/>
        <w:left w:val="none" w:sz="0" w:space="0" w:color="auto"/>
        <w:bottom w:val="none" w:sz="0" w:space="0" w:color="auto"/>
        <w:right w:val="none" w:sz="0" w:space="0" w:color="auto"/>
      </w:divBdr>
    </w:div>
    <w:div w:id="132601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ajd.czest.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od@ajd.czest.pl" TargetMode="External"/><Relationship Id="rId5" Type="http://schemas.openxmlformats.org/officeDocument/2006/relationships/webSettings" Target="webSettings.xml"/><Relationship Id="rId10" Type="http://schemas.openxmlformats.org/officeDocument/2006/relationships/hyperlink" Target="mailto:a.bojarska@ujd.edu.pl" TargetMode="External"/><Relationship Id="rId4" Type="http://schemas.openxmlformats.org/officeDocument/2006/relationships/settings" Target="settings.xml"/><Relationship Id="rId9" Type="http://schemas.openxmlformats.org/officeDocument/2006/relationships/hyperlink" Target="mailto:a.bojarska@ujd.edu.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18</Pages>
  <Words>6404</Words>
  <Characters>38429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a.bojarska</dc:creator>
  <cp:lastModifiedBy>a.bojarska</cp:lastModifiedBy>
  <cp:revision>14</cp:revision>
  <cp:lastPrinted>2019-02-12T14:05:00Z</cp:lastPrinted>
  <dcterms:created xsi:type="dcterms:W3CDTF">2019-02-07T13:10:00Z</dcterms:created>
  <dcterms:modified xsi:type="dcterms:W3CDTF">2019-02-13T10:18:00Z</dcterms:modified>
</cp:coreProperties>
</file>